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F2D70">
      <w:pPr>
        <w:snapToGrid w:val="0"/>
        <w:spacing w:before="9" w:line="560" w:lineRule="exact"/>
        <w:ind w:left="120"/>
        <w:textAlignment w:val="baseline"/>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附件2-</w:t>
      </w:r>
      <w:r>
        <w:rPr>
          <w:rFonts w:hint="eastAsia" w:ascii="Times New Roman" w:hAnsi="Times New Roman" w:eastAsia="方正黑体_GBK" w:cs="Times New Roman"/>
          <w:sz w:val="32"/>
          <w:szCs w:val="32"/>
          <w:lang w:eastAsia="zh-CN"/>
        </w:rPr>
        <w:t>5</w:t>
      </w:r>
    </w:p>
    <w:p w14:paraId="67AFD43E">
      <w:pPr>
        <w:snapToGrid w:val="0"/>
        <w:spacing w:before="2" w:line="560" w:lineRule="exact"/>
        <w:textAlignment w:val="baseline"/>
        <w:rPr>
          <w:rFonts w:ascii="Times New Roman" w:hAnsi="Times New Roman" w:eastAsia="宋体" w:cs="Times New Roman"/>
          <w:sz w:val="27"/>
          <w:szCs w:val="27"/>
          <w:lang w:eastAsia="zh-CN"/>
        </w:rPr>
      </w:pPr>
    </w:p>
    <w:p w14:paraId="21F3449B">
      <w:pPr>
        <w:snapToGrid w:val="0"/>
        <w:spacing w:line="560" w:lineRule="exact"/>
        <w:jc w:val="center"/>
        <w:textAlignment w:val="baseline"/>
        <w:rPr>
          <w:rFonts w:ascii="Times New Roman" w:hAnsi="Times New Roman" w:eastAsia="方正小标宋_GBK" w:cs="Times New Roman"/>
          <w:sz w:val="44"/>
          <w:szCs w:val="44"/>
          <w:lang w:eastAsia="zh-CN"/>
        </w:rPr>
      </w:pPr>
      <w:r>
        <w:rPr>
          <w:rFonts w:ascii="Times New Roman" w:hAnsi="Times New Roman" w:eastAsia="方正小标宋_GBK" w:cs="Times New Roman"/>
          <w:sz w:val="44"/>
          <w:szCs w:val="44"/>
          <w:lang w:eastAsia="zh-CN"/>
        </w:rPr>
        <w:t>江苏省政府专项债券项目绩效自评价报告</w:t>
      </w:r>
    </w:p>
    <w:p w14:paraId="48212015">
      <w:pPr>
        <w:snapToGrid w:val="0"/>
        <w:spacing w:line="560" w:lineRule="exact"/>
        <w:jc w:val="center"/>
        <w:textAlignment w:val="baseline"/>
        <w:rPr>
          <w:rFonts w:ascii="Times New Roman" w:hAnsi="Times New Roman" w:eastAsia="方正楷体_GBK" w:cs="Times New Roman"/>
          <w:sz w:val="32"/>
          <w:szCs w:val="32"/>
          <w:lang w:eastAsia="zh-CN"/>
        </w:rPr>
      </w:pPr>
      <w:r>
        <w:rPr>
          <w:rFonts w:ascii="Times New Roman" w:hAnsi="Times New Roman" w:eastAsia="方正楷体_GBK" w:cs="Times New Roman"/>
          <w:sz w:val="32"/>
          <w:szCs w:val="32"/>
          <w:lang w:eastAsia="zh-CN"/>
        </w:rPr>
        <w:t>（</w:t>
      </w:r>
      <w:r>
        <w:rPr>
          <w:rFonts w:hint="eastAsia" w:ascii="Times New Roman" w:hAnsi="Times New Roman" w:eastAsia="方正楷体_GBK" w:cs="Times New Roman"/>
          <w:sz w:val="32"/>
          <w:szCs w:val="32"/>
          <w:lang w:eastAsia="zh-CN"/>
        </w:rPr>
        <w:t>城北污水系统管网排查-专项整治第四批工程</w:t>
      </w:r>
      <w:r>
        <w:rPr>
          <w:rFonts w:ascii="Times New Roman" w:hAnsi="Times New Roman" w:eastAsia="方正楷体_GBK" w:cs="Times New Roman"/>
          <w:sz w:val="32"/>
          <w:szCs w:val="32"/>
          <w:lang w:eastAsia="zh-CN"/>
        </w:rPr>
        <w:t>）</w:t>
      </w:r>
    </w:p>
    <w:p w14:paraId="72992578">
      <w:pPr>
        <w:snapToGrid w:val="0"/>
        <w:spacing w:line="560" w:lineRule="exact"/>
        <w:ind w:firstLine="600" w:firstLineChars="200"/>
        <w:jc w:val="both"/>
        <w:textAlignment w:val="baseline"/>
        <w:rPr>
          <w:rFonts w:ascii="Times New Roman" w:hAnsi="Times New Roman" w:eastAsia="方正楷体_GBK" w:cs="Times New Roman"/>
          <w:sz w:val="30"/>
          <w:szCs w:val="30"/>
          <w:lang w:eastAsia="zh-CN"/>
        </w:rPr>
      </w:pPr>
    </w:p>
    <w:p w14:paraId="1D18AF63">
      <w:pPr>
        <w:numPr>
          <w:ilvl w:val="0"/>
          <w:numId w:val="1"/>
        </w:numPr>
        <w:snapToGrid w:val="0"/>
        <w:spacing w:line="574"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项目情况</w:t>
      </w:r>
    </w:p>
    <w:p w14:paraId="7FC96D0A">
      <w:pPr>
        <w:pStyle w:val="5"/>
        <w:ind w:left="0" w:firstLine="600" w:firstLineChars="200"/>
        <w:rPr>
          <w:rFonts w:ascii="Times New Roman" w:hAnsi="Times New Roman" w:eastAsia="方正仿宋_GBK" w:cs="Times New Roman"/>
          <w:lang w:eastAsia="zh-CN"/>
        </w:rPr>
      </w:pPr>
      <w:r>
        <w:rPr>
          <w:rFonts w:hint="eastAsia" w:ascii="Times New Roman" w:hAnsi="Times New Roman" w:eastAsia="方正仿宋_GBK" w:cs="Times New Roman"/>
          <w:lang w:eastAsia="zh-CN"/>
        </w:rPr>
        <w:t>1、项目背景</w:t>
      </w:r>
    </w:p>
    <w:p w14:paraId="770D8817">
      <w:pPr>
        <w:spacing w:line="560" w:lineRule="exact"/>
        <w:ind w:firstLine="600" w:firstLineChars="200"/>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根据《南京市2018 年水环境提升工作方案》及市长办公会议纪要（2018第18号）的要求，南京水务集团在总结河西应天大街试点片区和南京南站试点片区排水管网排查经验的基础上，制定了主城区6大污水收集系统的排查方案，2018年底全面启动主城区排水管网检测排查工作，</w:t>
      </w:r>
      <w:r>
        <w:rPr>
          <w:rFonts w:ascii="Times New Roman" w:hAnsi="Times New Roman" w:eastAsia="方正仿宋_GBK" w:cs="Times New Roman"/>
          <w:sz w:val="30"/>
          <w:szCs w:val="30"/>
          <w:lang w:eastAsia="zh-CN"/>
        </w:rPr>
        <w:t>根据</w:t>
      </w:r>
      <w:r>
        <w:rPr>
          <w:rFonts w:hint="eastAsia" w:ascii="Times New Roman" w:hAnsi="Times New Roman" w:eastAsia="方正仿宋_GBK" w:cs="Times New Roman"/>
          <w:sz w:val="30"/>
          <w:szCs w:val="30"/>
          <w:lang w:eastAsia="zh-CN"/>
        </w:rPr>
        <w:t>前期</w:t>
      </w:r>
      <w:r>
        <w:rPr>
          <w:rFonts w:ascii="Times New Roman" w:hAnsi="Times New Roman" w:eastAsia="方正仿宋_GBK" w:cs="Times New Roman"/>
          <w:sz w:val="30"/>
          <w:szCs w:val="30"/>
          <w:lang w:eastAsia="zh-CN"/>
        </w:rPr>
        <w:t>排查成果，结合</w:t>
      </w:r>
      <w:r>
        <w:rPr>
          <w:rFonts w:hint="eastAsia" w:ascii="Times New Roman" w:hAnsi="Times New Roman" w:eastAsia="方正仿宋_GBK" w:cs="Times New Roman"/>
          <w:sz w:val="30"/>
          <w:szCs w:val="30"/>
          <w:lang w:eastAsia="zh-CN"/>
        </w:rPr>
        <w:t>根据《南京市城镇污水处理提质增效精准攻坚"333"行动方案》的要求，城北污水收集处理系统项目计划利用</w:t>
      </w:r>
      <w:r>
        <w:rPr>
          <w:rFonts w:ascii="Times New Roman" w:hAnsi="Times New Roman" w:eastAsia="方正仿宋_GBK" w:cs="Times New Roman"/>
          <w:sz w:val="30"/>
          <w:szCs w:val="30"/>
          <w:lang w:eastAsia="zh-CN"/>
        </w:rPr>
        <w:t>3-5</w:t>
      </w:r>
      <w:r>
        <w:rPr>
          <w:rFonts w:hint="eastAsia" w:ascii="Times New Roman" w:hAnsi="Times New Roman" w:eastAsia="方正仿宋_GBK" w:cs="Times New Roman"/>
          <w:sz w:val="30"/>
          <w:szCs w:val="30"/>
          <w:lang w:eastAsia="zh-CN"/>
        </w:rPr>
        <w:t>年时间对片区内</w:t>
      </w:r>
      <w:r>
        <w:rPr>
          <w:rFonts w:ascii="Times New Roman" w:hAnsi="Times New Roman" w:eastAsia="方正仿宋_GBK" w:cs="Times New Roman"/>
          <w:sz w:val="30"/>
          <w:szCs w:val="30"/>
          <w:lang w:eastAsia="zh-CN"/>
        </w:rPr>
        <w:t>缺陷</w:t>
      </w:r>
      <w:r>
        <w:rPr>
          <w:rFonts w:hint="eastAsia" w:ascii="Times New Roman" w:hAnsi="Times New Roman" w:eastAsia="方正仿宋_GBK" w:cs="Times New Roman"/>
          <w:sz w:val="30"/>
          <w:szCs w:val="30"/>
          <w:lang w:eastAsia="zh-CN"/>
        </w:rPr>
        <w:t>污水管网进行整改。</w:t>
      </w:r>
    </w:p>
    <w:p w14:paraId="6B45583C">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目前</w:t>
      </w:r>
      <w:r>
        <w:rPr>
          <w:rFonts w:ascii="Times New Roman" w:hAnsi="Times New Roman" w:eastAsia="方正仿宋_GBK" w:cs="Times New Roman"/>
          <w:sz w:val="30"/>
          <w:szCs w:val="30"/>
          <w:lang w:eastAsia="zh-CN"/>
        </w:rPr>
        <w:t>已经</w:t>
      </w:r>
      <w:r>
        <w:rPr>
          <w:rFonts w:hint="eastAsia" w:ascii="Times New Roman" w:hAnsi="Times New Roman" w:eastAsia="方正仿宋_GBK" w:cs="Times New Roman"/>
          <w:sz w:val="30"/>
          <w:szCs w:val="30"/>
          <w:lang w:eastAsia="zh-CN"/>
        </w:rPr>
        <w:t>实施了城北污水系统管网排查专项整治第一批到</w:t>
      </w:r>
      <w:r>
        <w:rPr>
          <w:rFonts w:ascii="Times New Roman" w:hAnsi="Times New Roman" w:eastAsia="方正仿宋_GBK" w:cs="Times New Roman"/>
          <w:sz w:val="30"/>
          <w:szCs w:val="30"/>
          <w:lang w:eastAsia="zh-CN"/>
        </w:rPr>
        <w:t>第三批的工程整改，</w:t>
      </w:r>
      <w:r>
        <w:rPr>
          <w:rFonts w:hint="eastAsia" w:ascii="Times New Roman" w:hAnsi="Times New Roman" w:eastAsia="方正仿宋_GBK" w:cs="Times New Roman"/>
          <w:sz w:val="30"/>
          <w:szCs w:val="30"/>
          <w:lang w:eastAsia="zh-CN"/>
        </w:rPr>
        <w:t>对污水收集处理系统中的过河</w:t>
      </w:r>
      <w:r>
        <w:rPr>
          <w:rFonts w:ascii="Times New Roman" w:hAnsi="Times New Roman" w:eastAsia="方正仿宋_GBK" w:cs="Times New Roman"/>
          <w:sz w:val="30"/>
          <w:szCs w:val="30"/>
          <w:lang w:eastAsia="zh-CN"/>
        </w:rPr>
        <w:t>管、</w:t>
      </w:r>
      <w:r>
        <w:rPr>
          <w:rFonts w:hint="eastAsia" w:ascii="Times New Roman" w:hAnsi="Times New Roman" w:eastAsia="方正仿宋_GBK" w:cs="Times New Roman"/>
          <w:sz w:val="30"/>
          <w:szCs w:val="30"/>
          <w:lang w:eastAsia="zh-CN"/>
        </w:rPr>
        <w:t>未连通主管重要</w:t>
      </w:r>
      <w:r>
        <w:rPr>
          <w:rFonts w:ascii="Times New Roman" w:hAnsi="Times New Roman" w:eastAsia="方正仿宋_GBK" w:cs="Times New Roman"/>
          <w:sz w:val="30"/>
          <w:szCs w:val="30"/>
          <w:lang w:eastAsia="zh-CN"/>
        </w:rPr>
        <w:t>节点以及</w:t>
      </w:r>
      <w:r>
        <w:rPr>
          <w:rFonts w:hint="eastAsia" w:ascii="Times New Roman" w:hAnsi="Times New Roman" w:eastAsia="方正仿宋_GBK" w:cs="Times New Roman"/>
          <w:sz w:val="30"/>
          <w:szCs w:val="30"/>
          <w:lang w:eastAsia="zh-CN"/>
        </w:rPr>
        <w:t>问题</w:t>
      </w:r>
      <w:r>
        <w:rPr>
          <w:rFonts w:ascii="Times New Roman" w:hAnsi="Times New Roman" w:eastAsia="方正仿宋_GBK" w:cs="Times New Roman"/>
          <w:sz w:val="30"/>
          <w:szCs w:val="30"/>
          <w:lang w:eastAsia="zh-CN"/>
        </w:rPr>
        <w:t>较为严重的F片区</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A片区</w:t>
      </w:r>
      <w:r>
        <w:rPr>
          <w:rFonts w:hint="eastAsia" w:ascii="Times New Roman" w:hAnsi="Times New Roman" w:eastAsia="方正仿宋_GBK" w:cs="Times New Roman"/>
          <w:sz w:val="30"/>
          <w:szCs w:val="30"/>
          <w:lang w:eastAsia="zh-CN"/>
        </w:rPr>
        <w:t>进行了整改。本次启动的城北污水系统管道排查-专项整治第四批工程，主要实施城北污水系统B、E片区，位于南京市雨花台区，片区属于金川河流域，河道下游涉及金川河</w:t>
      </w:r>
      <w:r>
        <w:rPr>
          <w:rFonts w:ascii="Times New Roman" w:hAnsi="Times New Roman" w:eastAsia="方正仿宋_GBK" w:cs="Times New Roman"/>
          <w:sz w:val="30"/>
          <w:szCs w:val="30"/>
          <w:lang w:eastAsia="zh-CN"/>
        </w:rPr>
        <w:t>宝塔桥</w:t>
      </w:r>
      <w:r>
        <w:rPr>
          <w:rFonts w:hint="eastAsia" w:ascii="Times New Roman" w:hAnsi="Times New Roman" w:eastAsia="方正仿宋_GBK" w:cs="Times New Roman"/>
          <w:sz w:val="30"/>
          <w:szCs w:val="30"/>
          <w:lang w:eastAsia="zh-CN"/>
        </w:rPr>
        <w:t>断面，共涉及</w:t>
      </w:r>
      <w:r>
        <w:rPr>
          <w:rFonts w:ascii="Times New Roman" w:hAnsi="Times New Roman" w:eastAsia="方正仿宋_GBK" w:cs="Times New Roman"/>
          <w:sz w:val="30"/>
          <w:szCs w:val="30"/>
          <w:lang w:eastAsia="zh-CN"/>
        </w:rPr>
        <w:t>41</w:t>
      </w:r>
      <w:r>
        <w:rPr>
          <w:rFonts w:hint="eastAsia" w:ascii="Times New Roman" w:hAnsi="Times New Roman" w:eastAsia="方正仿宋_GBK" w:cs="Times New Roman"/>
          <w:sz w:val="30"/>
          <w:szCs w:val="30"/>
          <w:lang w:eastAsia="zh-CN"/>
        </w:rPr>
        <w:t>条道路污水管整治。</w:t>
      </w:r>
    </w:p>
    <w:p w14:paraId="498D0FCB">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bookmarkStart w:id="0" w:name="_Hlk161952852"/>
      <w:r>
        <w:rPr>
          <w:rFonts w:hint="eastAsia" w:ascii="Times New Roman" w:hAnsi="Times New Roman" w:eastAsia="方正仿宋_GBK" w:cs="Times New Roman"/>
          <w:sz w:val="30"/>
          <w:szCs w:val="30"/>
          <w:lang w:eastAsia="zh-CN"/>
        </w:rPr>
        <w:t>实施城北污水系统管道排查-专项整治第四批工程，提高污水管网质量，减少外水入渗，对提升污水处理厂进水浓度效果显著，是必要的。同时本工程实施可为金川河水质稳定达标提供保障。</w:t>
      </w:r>
      <w:bookmarkEnd w:id="0"/>
      <w:r>
        <w:rPr>
          <w:rFonts w:hint="eastAsia" w:ascii="Times New Roman" w:hAnsi="Times New Roman" w:eastAsia="方正仿宋_GBK" w:cs="Times New Roman"/>
          <w:sz w:val="30"/>
          <w:szCs w:val="30"/>
          <w:lang w:eastAsia="zh-CN"/>
        </w:rPr>
        <w:t>省考断面（金川河</w:t>
      </w:r>
      <w:r>
        <w:rPr>
          <w:rFonts w:ascii="Times New Roman" w:hAnsi="Times New Roman" w:eastAsia="方正仿宋_GBK" w:cs="Times New Roman"/>
          <w:sz w:val="30"/>
          <w:szCs w:val="30"/>
          <w:lang w:eastAsia="zh-CN"/>
        </w:rPr>
        <w:t>宝塔桥</w:t>
      </w:r>
      <w:r>
        <w:rPr>
          <w:rFonts w:hint="eastAsia" w:ascii="Times New Roman" w:hAnsi="Times New Roman" w:eastAsia="方正仿宋_GBK" w:cs="Times New Roman"/>
          <w:sz w:val="30"/>
          <w:szCs w:val="30"/>
          <w:lang w:eastAsia="zh-CN"/>
        </w:rPr>
        <w:t>断面）水质达标至关重要，按照考核要求分别要稳定达到III类水。在管道高水位且存在结构性缺陷的情况下，存在污水入河风险，对河道水环境造成不良影响。</w:t>
      </w:r>
    </w:p>
    <w:p w14:paraId="166A2255">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本工程符合《南京市主城污水主次干管专项规划（2018—2035）》中相关要求。由于管道为现状管线整改，基本为原管径原管位，不涉及征地拆迁，满足文保、水利、生态保护的要求。</w:t>
      </w:r>
    </w:p>
    <w:p w14:paraId="56383DC1">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2、主要内容：</w:t>
      </w:r>
    </w:p>
    <w:p w14:paraId="5E096F7D">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w:t>
      </w:r>
      <w:r>
        <w:rPr>
          <w:rFonts w:ascii="Times New Roman" w:hAnsi="Times New Roman" w:eastAsia="方正仿宋_GBK" w:cs="Times New Roman"/>
          <w:sz w:val="30"/>
          <w:szCs w:val="30"/>
          <w:lang w:eastAsia="zh-CN"/>
        </w:rPr>
        <w:t>位于南京市鼓楼区，</w:t>
      </w:r>
      <w:r>
        <w:rPr>
          <w:rFonts w:hint="eastAsia" w:ascii="Times New Roman" w:hAnsi="Times New Roman" w:eastAsia="方正仿宋_GBK" w:cs="Times New Roman"/>
          <w:sz w:val="30"/>
          <w:szCs w:val="30"/>
          <w:lang w:eastAsia="zh-CN"/>
        </w:rPr>
        <w:t>项目整治修复污水管道总长约</w:t>
      </w:r>
      <w:r>
        <w:rPr>
          <w:rFonts w:ascii="Times New Roman" w:hAnsi="Times New Roman" w:eastAsia="方正仿宋_GBK" w:cs="Times New Roman"/>
          <w:sz w:val="30"/>
          <w:szCs w:val="30"/>
          <w:lang w:eastAsia="zh-CN"/>
        </w:rPr>
        <w:t>10.0</w:t>
      </w:r>
      <w:r>
        <w:rPr>
          <w:rFonts w:hint="eastAsia" w:ascii="Times New Roman" w:hAnsi="Times New Roman" w:eastAsia="方正仿宋_GBK" w:cs="Times New Roman"/>
          <w:sz w:val="30"/>
          <w:szCs w:val="30"/>
          <w:lang w:eastAsia="zh-CN"/>
        </w:rPr>
        <w:t>千米，包括开挖更换现状</w:t>
      </w:r>
      <w:r>
        <w:rPr>
          <w:rFonts w:ascii="Times New Roman" w:hAnsi="Times New Roman" w:eastAsia="方正仿宋_GBK" w:cs="Times New Roman"/>
          <w:sz w:val="30"/>
          <w:szCs w:val="30"/>
          <w:lang w:eastAsia="zh-CN"/>
        </w:rPr>
        <w:t>DN200~DN600</w:t>
      </w:r>
      <w:r>
        <w:rPr>
          <w:rFonts w:hint="eastAsia" w:ascii="Times New Roman" w:hAnsi="Times New Roman" w:eastAsia="方正仿宋_GBK" w:cs="Times New Roman"/>
          <w:sz w:val="30"/>
          <w:szCs w:val="30"/>
          <w:lang w:eastAsia="zh-CN"/>
        </w:rPr>
        <w:t>污水管长为3.9km，内衬修复现状</w:t>
      </w:r>
      <w:r>
        <w:rPr>
          <w:rFonts w:ascii="Times New Roman" w:hAnsi="Times New Roman" w:eastAsia="方正仿宋_GBK" w:cs="Times New Roman"/>
          <w:sz w:val="30"/>
          <w:szCs w:val="30"/>
          <w:lang w:eastAsia="zh-CN"/>
        </w:rPr>
        <w:t>DN300~DN1000</w:t>
      </w:r>
      <w:r>
        <w:rPr>
          <w:rFonts w:hint="eastAsia" w:ascii="Times New Roman" w:hAnsi="Times New Roman" w:eastAsia="方正仿宋_GBK" w:cs="Times New Roman"/>
          <w:sz w:val="30"/>
          <w:szCs w:val="30"/>
          <w:lang w:eastAsia="zh-CN"/>
        </w:rPr>
        <w:t>污水管长为5.1km，工程性清疏DN300~DN800污水管0</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5km，点修DN400~DN800污水管0</w:t>
      </w:r>
      <w:r>
        <w:rPr>
          <w:rFonts w:ascii="Times New Roman" w:hAnsi="Times New Roman" w:eastAsia="方正仿宋_GBK" w:cs="Times New Roman"/>
          <w:sz w:val="30"/>
          <w:szCs w:val="30"/>
          <w:lang w:eastAsia="zh-CN"/>
        </w:rPr>
        <w:t>.5</w:t>
      </w:r>
      <w:r>
        <w:rPr>
          <w:rFonts w:hint="eastAsia" w:ascii="Times New Roman" w:hAnsi="Times New Roman" w:eastAsia="方正仿宋_GBK" w:cs="Times New Roman"/>
          <w:sz w:val="30"/>
          <w:szCs w:val="30"/>
          <w:lang w:eastAsia="zh-CN"/>
        </w:rPr>
        <w:t>km，同步更换雨水管0</w:t>
      </w:r>
      <w:r>
        <w:rPr>
          <w:rFonts w:ascii="Times New Roman" w:hAnsi="Times New Roman" w:eastAsia="方正仿宋_GBK" w:cs="Times New Roman"/>
          <w:sz w:val="30"/>
          <w:szCs w:val="30"/>
          <w:lang w:eastAsia="zh-CN"/>
        </w:rPr>
        <w:t>.5</w:t>
      </w:r>
      <w:r>
        <w:rPr>
          <w:rFonts w:hint="eastAsia" w:ascii="Times New Roman" w:hAnsi="Times New Roman" w:eastAsia="方正仿宋_GBK" w:cs="Times New Roman"/>
          <w:sz w:val="30"/>
          <w:szCs w:val="30"/>
          <w:lang w:eastAsia="zh-CN"/>
        </w:rPr>
        <w:t>km。修复市政道路下问题检查井及井盖共</w:t>
      </w:r>
      <w:r>
        <w:rPr>
          <w:rFonts w:ascii="Times New Roman" w:hAnsi="Times New Roman" w:eastAsia="方正仿宋_GBK" w:cs="Times New Roman"/>
          <w:sz w:val="30"/>
          <w:szCs w:val="30"/>
          <w:lang w:eastAsia="zh-CN"/>
        </w:rPr>
        <w:t>50</w:t>
      </w:r>
      <w:r>
        <w:rPr>
          <w:rFonts w:hint="eastAsia" w:ascii="Times New Roman" w:hAnsi="Times New Roman" w:eastAsia="方正仿宋_GBK" w:cs="Times New Roman"/>
          <w:sz w:val="30"/>
          <w:szCs w:val="30"/>
          <w:lang w:eastAsia="zh-CN"/>
        </w:rPr>
        <w:t>座，沿河管检查井修复</w:t>
      </w:r>
      <w:r>
        <w:rPr>
          <w:rFonts w:ascii="Times New Roman" w:hAnsi="Times New Roman" w:eastAsia="方正仿宋_GBK" w:cs="Times New Roman"/>
          <w:sz w:val="30"/>
          <w:szCs w:val="30"/>
          <w:lang w:eastAsia="zh-CN"/>
        </w:rPr>
        <w:t>65</w:t>
      </w:r>
      <w:r>
        <w:rPr>
          <w:rFonts w:hint="eastAsia" w:ascii="Times New Roman" w:hAnsi="Times New Roman" w:eastAsia="方正仿宋_GBK" w:cs="Times New Roman"/>
          <w:sz w:val="30"/>
          <w:szCs w:val="30"/>
          <w:lang w:eastAsia="zh-CN"/>
        </w:rPr>
        <w:t>座，增设液位计</w:t>
      </w:r>
      <w:r>
        <w:rPr>
          <w:rFonts w:ascii="Times New Roman" w:hAnsi="Times New Roman" w:eastAsia="方正仿宋_GBK" w:cs="Times New Roman"/>
          <w:sz w:val="30"/>
          <w:szCs w:val="30"/>
          <w:lang w:eastAsia="zh-CN"/>
        </w:rPr>
        <w:t>8</w:t>
      </w:r>
      <w:r>
        <w:rPr>
          <w:rFonts w:hint="eastAsia" w:ascii="Times New Roman" w:hAnsi="Times New Roman" w:eastAsia="方正仿宋_GBK" w:cs="Times New Roman"/>
          <w:sz w:val="30"/>
          <w:szCs w:val="30"/>
          <w:lang w:eastAsia="zh-CN"/>
        </w:rPr>
        <w:t>个，流量计</w:t>
      </w:r>
      <w:r>
        <w:rPr>
          <w:rFonts w:ascii="Times New Roman" w:hAnsi="Times New Roman" w:eastAsia="方正仿宋_GBK" w:cs="Times New Roman"/>
          <w:sz w:val="30"/>
          <w:szCs w:val="30"/>
          <w:lang w:eastAsia="zh-CN"/>
        </w:rPr>
        <w:t>2</w:t>
      </w:r>
      <w:r>
        <w:rPr>
          <w:rFonts w:hint="eastAsia" w:ascii="Times New Roman" w:hAnsi="Times New Roman" w:eastAsia="方正仿宋_GBK" w:cs="Times New Roman"/>
          <w:sz w:val="30"/>
          <w:szCs w:val="30"/>
          <w:lang w:eastAsia="zh-CN"/>
        </w:rPr>
        <w:t>个。</w:t>
      </w:r>
    </w:p>
    <w:p w14:paraId="3C85E50E">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3、实施方式：用于</w:t>
      </w:r>
      <w:r>
        <w:rPr>
          <w:rFonts w:ascii="Times New Roman" w:hAnsi="Times New Roman" w:eastAsia="方正仿宋_GBK" w:cs="Times New Roman"/>
          <w:spacing w:val="-15"/>
          <w:sz w:val="30"/>
          <w:szCs w:val="30"/>
          <w:lang w:eastAsia="zh-CN"/>
        </w:rPr>
        <w:t>项目建设阶段工程费用投入。</w:t>
      </w:r>
    </w:p>
    <w:p w14:paraId="0C707C5B">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4、资金投入：本项目投资概算约为</w:t>
      </w:r>
      <w:r>
        <w:rPr>
          <w:rFonts w:hint="eastAsia" w:ascii="Times New Roman" w:hAnsi="Times New Roman" w:eastAsia="方正仿宋_GBK" w:cs="Times New Roman"/>
          <w:sz w:val="30"/>
          <w:szCs w:val="30"/>
          <w:lang w:eastAsia="zh-CN"/>
        </w:rPr>
        <w:t>12305万</w:t>
      </w:r>
      <w:r>
        <w:rPr>
          <w:rFonts w:ascii="Times New Roman" w:hAnsi="Times New Roman" w:eastAsia="方正仿宋_GBK" w:cs="Times New Roman"/>
          <w:sz w:val="30"/>
          <w:szCs w:val="30"/>
          <w:lang w:eastAsia="zh-CN"/>
        </w:rPr>
        <w:t>元，其中专项债总额</w:t>
      </w:r>
      <w:r>
        <w:rPr>
          <w:rFonts w:hint="eastAsia" w:ascii="Times New Roman" w:hAnsi="Times New Roman" w:eastAsia="方正仿宋_GBK" w:cs="Times New Roman"/>
          <w:sz w:val="30"/>
          <w:szCs w:val="30"/>
          <w:lang w:val="en-US" w:eastAsia="zh-CN"/>
        </w:rPr>
        <w:t>59</w:t>
      </w:r>
      <w:r>
        <w:rPr>
          <w:rFonts w:ascii="Times New Roman" w:hAnsi="Times New Roman" w:eastAsia="方正仿宋_GBK" w:cs="Times New Roman"/>
          <w:sz w:val="30"/>
          <w:szCs w:val="30"/>
          <w:lang w:eastAsia="zh-CN"/>
        </w:rPr>
        <w:t>00</w:t>
      </w:r>
      <w:r>
        <w:rPr>
          <w:rFonts w:hint="eastAsia" w:ascii="Times New Roman" w:hAnsi="Times New Roman" w:eastAsia="方正仿宋_GBK" w:cs="Times New Roman"/>
          <w:sz w:val="30"/>
          <w:szCs w:val="30"/>
          <w:lang w:eastAsia="zh-CN"/>
        </w:rPr>
        <w:t>万</w:t>
      </w:r>
      <w:r>
        <w:rPr>
          <w:rFonts w:ascii="Times New Roman" w:hAnsi="Times New Roman" w:eastAsia="方正仿宋_GBK" w:cs="Times New Roman"/>
          <w:sz w:val="30"/>
          <w:szCs w:val="30"/>
          <w:lang w:eastAsia="zh-CN"/>
        </w:rPr>
        <w:t>元</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val="en-US" w:eastAsia="zh-CN"/>
        </w:rPr>
        <w:t>2023年1400万元、2024年4500完元</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w:t>
      </w:r>
    </w:p>
    <w:p w14:paraId="34E8B1A8">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5、资金使用：专项债资金全部实行专账管理、专款专用，严格执行集团公司资金审批办法，按月度资金计划把控项目支出，确保专项</w:t>
      </w:r>
      <w:r>
        <w:rPr>
          <w:rFonts w:hint="eastAsia" w:ascii="Times New Roman" w:hAnsi="Times New Roman" w:eastAsia="方正仿宋_GBK" w:cs="Times New Roman"/>
          <w:sz w:val="30"/>
          <w:szCs w:val="30"/>
          <w:lang w:eastAsia="zh-CN"/>
        </w:rPr>
        <w:t>债</w:t>
      </w:r>
      <w:r>
        <w:rPr>
          <w:rFonts w:ascii="Times New Roman" w:hAnsi="Times New Roman" w:eastAsia="方正仿宋_GBK" w:cs="Times New Roman"/>
          <w:sz w:val="30"/>
          <w:szCs w:val="30"/>
          <w:lang w:eastAsia="zh-CN"/>
        </w:rPr>
        <w:t>资金能最大限度地发挥其作用，实现巨大的社会效益。</w:t>
      </w:r>
    </w:p>
    <w:p w14:paraId="79613C30">
      <w:pPr>
        <w:snapToGrid w:val="0"/>
        <w:spacing w:line="574"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ascii="Times New Roman" w:hAnsi="Times New Roman" w:eastAsia="方正楷体_GBK" w:cs="Times New Roman"/>
          <w:spacing w:val="-4"/>
          <w:sz w:val="30"/>
          <w:szCs w:val="30"/>
          <w:lang w:eastAsia="zh-CN"/>
        </w:rPr>
        <w:t>（二）绩效目标</w:t>
      </w:r>
    </w:p>
    <w:p w14:paraId="2A0D35AA">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（1）社会效益</w:t>
      </w:r>
    </w:p>
    <w:p w14:paraId="3E4C7B15">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本工程的建设保障了城北污水</w:t>
      </w:r>
      <w:r>
        <w:rPr>
          <w:rFonts w:ascii="Times New Roman" w:hAnsi="Times New Roman" w:eastAsia="方正仿宋_GBK" w:cs="Times New Roman"/>
          <w:sz w:val="30"/>
          <w:szCs w:val="30"/>
          <w:lang w:eastAsia="zh-CN"/>
        </w:rPr>
        <w:t>系统</w:t>
      </w:r>
      <w:r>
        <w:rPr>
          <w:rFonts w:hint="eastAsia" w:ascii="Times New Roman" w:hAnsi="Times New Roman" w:eastAsia="方正仿宋_GBK" w:cs="Times New Roman"/>
          <w:sz w:val="30"/>
          <w:szCs w:val="30"/>
          <w:lang w:eastAsia="zh-CN"/>
        </w:rPr>
        <w:t>B、E片区的正常运行，恢复污水主管通水功能，能有效的改善水环境，保证地区的可持续发展，为居民提供更好的生活环境。</w:t>
      </w:r>
    </w:p>
    <w:p w14:paraId="3B9C2B3D">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（2）环境效益</w:t>
      </w:r>
    </w:p>
    <w:p w14:paraId="4BE4D7E2">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项目实施后可以提高污水厂进厂浓度，提升了</w:t>
      </w:r>
      <w:r>
        <w:rPr>
          <w:rFonts w:hint="eastAsia" w:ascii="Times New Roman" w:hAnsi="Times New Roman" w:eastAsia="方正仿宋_GBK" w:cs="Times New Roman"/>
          <w:sz w:val="30"/>
          <w:szCs w:val="30"/>
          <w:lang w:eastAsia="zh-CN"/>
        </w:rPr>
        <w:t>城北</w:t>
      </w:r>
      <w:r>
        <w:rPr>
          <w:rFonts w:ascii="Times New Roman" w:hAnsi="Times New Roman" w:eastAsia="方正仿宋_GBK" w:cs="Times New Roman"/>
          <w:sz w:val="30"/>
          <w:szCs w:val="30"/>
          <w:lang w:eastAsia="zh-CN"/>
        </w:rPr>
        <w:t>污水系统水环境质量，减少污水管网渗漏对河道、地下水及土壤的污染，营造水清景美的水生活环境，有力保障了人民的生活质量，最终为长江生态保护修复提供有力支撑</w:t>
      </w:r>
      <w:r>
        <w:rPr>
          <w:rFonts w:hint="eastAsia" w:ascii="Times New Roman" w:hAnsi="Times New Roman" w:eastAsia="方正仿宋_GBK" w:cs="Times New Roman"/>
          <w:sz w:val="30"/>
          <w:szCs w:val="30"/>
          <w:lang w:eastAsia="zh-CN"/>
        </w:rPr>
        <w:t>。</w:t>
      </w:r>
    </w:p>
    <w:p w14:paraId="20B2B820">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（3）经济效益</w:t>
      </w:r>
    </w:p>
    <w:p w14:paraId="3F6AE947">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污水收集和处理是投资环境的重要内容，对于吸引投资具有重要影响。本项目完成后，地区水环境将得到明显改观，水环境污染问题逐步得到解决，有利于投资环境的改善，增加招商引资的吸引力。</w:t>
      </w:r>
    </w:p>
    <w:p w14:paraId="27005AD5">
      <w:pPr>
        <w:snapToGrid w:val="0"/>
        <w:spacing w:line="574"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二、评价情况</w:t>
      </w:r>
    </w:p>
    <w:p w14:paraId="104EFDD7">
      <w:pPr>
        <w:snapToGrid w:val="0"/>
        <w:spacing w:line="574"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ascii="Times New Roman" w:hAnsi="Times New Roman" w:eastAsia="方正楷体_GBK" w:cs="Times New Roman"/>
          <w:spacing w:val="-4"/>
          <w:sz w:val="30"/>
          <w:szCs w:val="30"/>
          <w:lang w:eastAsia="zh-CN"/>
        </w:rPr>
        <w:t>（一）项目特点分析</w:t>
      </w:r>
    </w:p>
    <w:p w14:paraId="42628DE7">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hint="eastAsia" w:ascii="Times New Roman" w:hAnsi="Times New Roman" w:eastAsia="方正仿宋_GBK" w:cs="Times New Roman"/>
          <w:sz w:val="30"/>
          <w:szCs w:val="30"/>
          <w:lang w:eastAsia="zh-CN"/>
        </w:rPr>
        <w:t>本次改造工程实施，旨在解决管网</w:t>
      </w:r>
      <w:r>
        <w:rPr>
          <w:rFonts w:ascii="Times New Roman" w:hAnsi="Times New Roman" w:eastAsia="方正仿宋_GBK" w:cs="Times New Roman"/>
          <w:sz w:val="30"/>
          <w:szCs w:val="30"/>
          <w:lang w:eastAsia="zh-CN"/>
        </w:rPr>
        <w:t>缺陷问题，</w:t>
      </w:r>
      <w:r>
        <w:rPr>
          <w:rFonts w:hint="eastAsia" w:ascii="Times New Roman" w:hAnsi="Times New Roman" w:eastAsia="方正仿宋_GBK" w:cs="Times New Roman"/>
          <w:sz w:val="30"/>
          <w:szCs w:val="30"/>
          <w:lang w:eastAsia="zh-CN"/>
        </w:rPr>
        <w:t>提高污水管网质量，减少外水入渗，提升污水处理厂进水浓度。同时为金川河水质稳定达标提供保障。金川河宝塔桥</w:t>
      </w:r>
      <w:r>
        <w:rPr>
          <w:rFonts w:ascii="Times New Roman" w:hAnsi="Times New Roman" w:eastAsia="方正仿宋_GBK" w:cs="Times New Roman"/>
          <w:sz w:val="30"/>
          <w:szCs w:val="30"/>
          <w:lang w:eastAsia="zh-CN"/>
        </w:rPr>
        <w:t>省考断面要求</w:t>
      </w:r>
      <w:r>
        <w:rPr>
          <w:rFonts w:hint="eastAsia" w:ascii="Times New Roman" w:hAnsi="Times New Roman" w:eastAsia="方正仿宋_GBK" w:cs="Times New Roman"/>
          <w:sz w:val="30"/>
          <w:szCs w:val="30"/>
          <w:lang w:eastAsia="zh-CN"/>
        </w:rPr>
        <w:t>稳定达到 III类水。在管道高水位且存在结构性缺陷的情况下，消除在污水入河风险，改善河道水环境。</w:t>
      </w:r>
    </w:p>
    <w:p w14:paraId="63F95E75">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部分道路污水管道改造已完成</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养护成本明显降低。</w:t>
      </w:r>
      <w:r>
        <w:rPr>
          <w:rFonts w:ascii="Times New Roman" w:hAnsi="Times New Roman" w:eastAsia="方正仿宋_GBK" w:cs="Times New Roman"/>
          <w:sz w:val="30"/>
          <w:szCs w:val="30"/>
          <w:lang w:eastAsia="zh-CN"/>
        </w:rPr>
        <w:t>绩效评价主要集中为过程指标和产出指标，以评价项目资金管理、项目建设进度、安全生产等相关情况。</w:t>
      </w:r>
    </w:p>
    <w:p w14:paraId="61394588">
      <w:pPr>
        <w:snapToGrid w:val="0"/>
        <w:spacing w:line="574"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（二）评价思路方法</w:t>
      </w:r>
    </w:p>
    <w:p w14:paraId="7B8B3C1B">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项目资金管理评价主要依据《</w:t>
      </w:r>
      <w:r>
        <w:rPr>
          <w:rFonts w:hint="eastAsia" w:ascii="Times New Roman" w:hAnsi="Times New Roman" w:eastAsia="方正仿宋_GBK" w:cs="Times New Roman"/>
          <w:sz w:val="30"/>
          <w:szCs w:val="30"/>
          <w:lang w:eastAsia="zh-CN"/>
        </w:rPr>
        <w:t>地方政府专项债券项目资金绩效管理办法</w:t>
      </w:r>
      <w:r>
        <w:rPr>
          <w:rFonts w:ascii="Times New Roman" w:hAnsi="Times New Roman" w:eastAsia="方正仿宋_GBK" w:cs="Times New Roman"/>
          <w:sz w:val="30"/>
          <w:szCs w:val="30"/>
          <w:lang w:eastAsia="zh-CN"/>
        </w:rPr>
        <w:t>》等对专项债券资金的使用管理要求设置细化指标，进行管理、考核。</w:t>
      </w:r>
    </w:p>
    <w:p w14:paraId="6BCE6FF5">
      <w:pPr>
        <w:snapToGrid w:val="0"/>
        <w:spacing w:line="574"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（三）评价工作情况</w:t>
      </w:r>
    </w:p>
    <w:p w14:paraId="149B85F5">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对照设置的考核指标和评分依据逐项进行</w:t>
      </w:r>
      <w:bookmarkStart w:id="1" w:name="_GoBack"/>
      <w:bookmarkEnd w:id="1"/>
      <w:r>
        <w:rPr>
          <w:rFonts w:ascii="Times New Roman" w:hAnsi="Times New Roman" w:eastAsia="方正仿宋_GBK" w:cs="Times New Roman"/>
          <w:sz w:val="30"/>
          <w:szCs w:val="30"/>
          <w:lang w:eastAsia="zh-CN"/>
        </w:rPr>
        <w:t>跟踪评价，评判各项</w:t>
      </w:r>
      <w:r>
        <w:rPr>
          <w:rFonts w:hint="eastAsia" w:ascii="Times New Roman" w:hAnsi="Times New Roman" w:eastAsia="方正仿宋_GBK" w:cs="Times New Roman"/>
          <w:sz w:val="30"/>
          <w:szCs w:val="30"/>
          <w:lang w:val="en-US" w:eastAsia="zh-CN"/>
        </w:rPr>
        <w:t>指标</w:t>
      </w:r>
      <w:r>
        <w:rPr>
          <w:rFonts w:ascii="Times New Roman" w:hAnsi="Times New Roman" w:eastAsia="方正仿宋_GBK" w:cs="Times New Roman"/>
          <w:sz w:val="30"/>
          <w:szCs w:val="30"/>
          <w:lang w:eastAsia="zh-CN"/>
        </w:rPr>
        <w:t>实际完成情况。专项债券的使用确保项目建设顺利进行，项目于20</w:t>
      </w:r>
      <w:r>
        <w:rPr>
          <w:rFonts w:hint="eastAsia" w:ascii="Times New Roman" w:hAnsi="Times New Roman" w:eastAsia="方正仿宋_GBK" w:cs="Times New Roman"/>
          <w:sz w:val="30"/>
          <w:szCs w:val="30"/>
          <w:lang w:eastAsia="zh-CN"/>
        </w:rPr>
        <w:t>23</w:t>
      </w:r>
      <w:r>
        <w:rPr>
          <w:rFonts w:ascii="Times New Roman" w:hAnsi="Times New Roman" w:eastAsia="方正仿宋_GBK" w:cs="Times New Roman"/>
          <w:sz w:val="30"/>
          <w:szCs w:val="30"/>
          <w:lang w:eastAsia="zh-CN"/>
        </w:rPr>
        <w:t>年</w:t>
      </w:r>
      <w:r>
        <w:rPr>
          <w:rFonts w:hint="eastAsia" w:ascii="Times New Roman" w:hAnsi="Times New Roman" w:eastAsia="方正仿宋_GBK" w:cs="Times New Roman"/>
          <w:sz w:val="30"/>
          <w:szCs w:val="30"/>
          <w:lang w:eastAsia="zh-CN"/>
        </w:rPr>
        <w:t>8</w:t>
      </w:r>
      <w:r>
        <w:rPr>
          <w:rFonts w:ascii="Times New Roman" w:hAnsi="Times New Roman" w:eastAsia="方正仿宋_GBK" w:cs="Times New Roman"/>
          <w:sz w:val="30"/>
          <w:szCs w:val="30"/>
          <w:lang w:eastAsia="zh-CN"/>
        </w:rPr>
        <w:t>月</w:t>
      </w:r>
      <w:r>
        <w:rPr>
          <w:rFonts w:hint="eastAsia" w:ascii="Times New Roman" w:hAnsi="Times New Roman" w:eastAsia="方正仿宋_GBK" w:cs="Times New Roman"/>
          <w:sz w:val="30"/>
          <w:szCs w:val="30"/>
          <w:lang w:eastAsia="zh-CN"/>
        </w:rPr>
        <w:t>开工建设</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val="en-US" w:eastAsia="zh-CN"/>
        </w:rPr>
        <w:t>于</w:t>
      </w:r>
      <w:r>
        <w:rPr>
          <w:rFonts w:hint="eastAsia" w:ascii="Times New Roman" w:hAnsi="Times New Roman" w:eastAsia="方正仿宋_GBK" w:cs="Times New Roman"/>
          <w:sz w:val="30"/>
          <w:szCs w:val="30"/>
          <w:lang w:eastAsia="zh-CN"/>
        </w:rPr>
        <w:t>2024年12月完工，</w:t>
      </w:r>
      <w:r>
        <w:rPr>
          <w:rFonts w:ascii="Times New Roman" w:hAnsi="Times New Roman" w:eastAsia="方正仿宋_GBK" w:cs="Times New Roman"/>
          <w:sz w:val="30"/>
          <w:szCs w:val="30"/>
          <w:lang w:eastAsia="zh-CN"/>
        </w:rPr>
        <w:t>债券资金严格按照资金使用的相关管理要求执行，严格资金使用范围，保证</w:t>
      </w:r>
      <w:r>
        <w:rPr>
          <w:rFonts w:hint="eastAsia" w:ascii="Times New Roman" w:hAnsi="Times New Roman" w:eastAsia="方正仿宋_GBK" w:cs="Times New Roman"/>
          <w:sz w:val="30"/>
          <w:szCs w:val="30"/>
          <w:lang w:eastAsia="zh-CN"/>
        </w:rPr>
        <w:t>专项债</w:t>
      </w:r>
      <w:r>
        <w:rPr>
          <w:rFonts w:ascii="Times New Roman" w:hAnsi="Times New Roman" w:eastAsia="方正仿宋_GBK" w:cs="Times New Roman"/>
          <w:sz w:val="30"/>
          <w:szCs w:val="30"/>
          <w:lang w:eastAsia="zh-CN"/>
        </w:rPr>
        <w:t>资金专款专用。</w:t>
      </w:r>
    </w:p>
    <w:p w14:paraId="2F49ECB1">
      <w:pPr>
        <w:snapToGrid w:val="0"/>
        <w:spacing w:line="574"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hint="eastAsia" w:ascii="Times New Roman" w:hAnsi="Times New Roman" w:eastAsia="方正楷体_GBK" w:cs="Times New Roman"/>
          <w:spacing w:val="-4"/>
          <w:sz w:val="30"/>
          <w:szCs w:val="30"/>
          <w:lang w:eastAsia="zh-CN"/>
        </w:rPr>
        <w:t>（四）</w:t>
      </w:r>
      <w:r>
        <w:rPr>
          <w:rFonts w:ascii="Times New Roman" w:hAnsi="Times New Roman" w:eastAsia="方正楷体_GBK" w:cs="Times New Roman"/>
          <w:spacing w:val="-4"/>
          <w:sz w:val="30"/>
          <w:szCs w:val="30"/>
          <w:lang w:eastAsia="zh-CN"/>
        </w:rPr>
        <w:t>绩效评价结论</w:t>
      </w:r>
    </w:p>
    <w:p w14:paraId="1918515C">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根据江苏省预算项目支出绩效指标体系，对</w:t>
      </w:r>
      <w:r>
        <w:rPr>
          <w:rFonts w:hint="eastAsia" w:ascii="Times New Roman" w:hAnsi="Times New Roman" w:eastAsia="方正仿宋_GBK" w:cs="Times New Roman"/>
          <w:sz w:val="30"/>
          <w:szCs w:val="30"/>
          <w:lang w:eastAsia="zh-CN"/>
        </w:rPr>
        <w:t>城北污水系统管网排查-专项整治第四批工程专项债券资金从过程、产出</w:t>
      </w:r>
      <w:r>
        <w:rPr>
          <w:rFonts w:ascii="Times New Roman" w:hAnsi="Times New Roman" w:eastAsia="方正仿宋_GBK" w:cs="Times New Roman"/>
          <w:sz w:val="30"/>
          <w:szCs w:val="30"/>
          <w:lang w:eastAsia="zh-CN"/>
        </w:rPr>
        <w:t>、效益、满意度四个维度进行自评价，资金管理规范，项目进展顺利</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项目正在建设中</w:t>
      </w:r>
      <w:r>
        <w:rPr>
          <w:rFonts w:ascii="Times New Roman" w:hAnsi="Times New Roman" w:eastAsia="方正仿宋_GBK" w:cs="Times New Roman"/>
          <w:sz w:val="30"/>
          <w:szCs w:val="30"/>
          <w:lang w:eastAsia="zh-CN"/>
        </w:rPr>
        <w:t>，工程实施过程中</w:t>
      </w:r>
      <w:r>
        <w:rPr>
          <w:rFonts w:hint="eastAsia" w:ascii="Times New Roman" w:hAnsi="Times New Roman" w:eastAsia="方正仿宋_GBK" w:cs="Times New Roman"/>
          <w:sz w:val="30"/>
          <w:szCs w:val="30"/>
          <w:lang w:eastAsia="zh-CN"/>
        </w:rPr>
        <w:t>未</w:t>
      </w:r>
      <w:r>
        <w:rPr>
          <w:rFonts w:ascii="Times New Roman" w:hAnsi="Times New Roman" w:eastAsia="方正仿宋_GBK" w:cs="Times New Roman"/>
          <w:sz w:val="30"/>
          <w:szCs w:val="30"/>
          <w:lang w:eastAsia="zh-CN"/>
        </w:rPr>
        <w:t>发生造成重大社会影响的质量安全事件，综合评分等级为“优”。</w:t>
      </w:r>
    </w:p>
    <w:p w14:paraId="29DB6E77">
      <w:pPr>
        <w:snapToGrid w:val="0"/>
        <w:spacing w:line="574" w:lineRule="exact"/>
        <w:ind w:firstLine="60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黑体" w:cs="Times New Roman"/>
          <w:sz w:val="30"/>
          <w:szCs w:val="30"/>
          <w:lang w:eastAsia="zh-CN"/>
        </w:rPr>
        <w:t>三、项目绩效</w:t>
      </w:r>
    </w:p>
    <w:p w14:paraId="24A75D37">
      <w:pPr>
        <w:snapToGrid w:val="0"/>
        <w:spacing w:line="574" w:lineRule="exact"/>
        <w:ind w:firstLine="54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方正仿宋_GBK" w:cs="Times New Roman"/>
          <w:spacing w:val="-15"/>
          <w:sz w:val="30"/>
          <w:szCs w:val="30"/>
          <w:lang w:eastAsia="zh-CN"/>
        </w:rPr>
        <w:t>专项债券主要用于项目建设阶段工程费用的使用，20</w:t>
      </w:r>
      <w:r>
        <w:rPr>
          <w:rFonts w:hint="eastAsia" w:ascii="Times New Roman" w:hAnsi="Times New Roman" w:eastAsia="方正仿宋_GBK" w:cs="Times New Roman"/>
          <w:spacing w:val="-15"/>
          <w:sz w:val="30"/>
          <w:szCs w:val="30"/>
          <w:lang w:eastAsia="zh-CN"/>
        </w:rPr>
        <w:t>23</w:t>
      </w:r>
      <w:r>
        <w:rPr>
          <w:rFonts w:ascii="Times New Roman" w:hAnsi="Times New Roman" w:eastAsia="方正仿宋_GBK" w:cs="Times New Roman"/>
          <w:spacing w:val="-15"/>
          <w:sz w:val="30"/>
          <w:szCs w:val="30"/>
          <w:lang w:eastAsia="zh-CN"/>
        </w:rPr>
        <w:t>年</w:t>
      </w:r>
      <w:r>
        <w:rPr>
          <w:rFonts w:hint="eastAsia" w:ascii="Times New Roman" w:hAnsi="Times New Roman" w:eastAsia="方正仿宋_GBK" w:cs="Times New Roman"/>
          <w:spacing w:val="-15"/>
          <w:sz w:val="30"/>
          <w:szCs w:val="30"/>
          <w:lang w:eastAsia="zh-CN"/>
        </w:rPr>
        <w:t>8</w:t>
      </w:r>
      <w:r>
        <w:rPr>
          <w:rFonts w:ascii="Times New Roman" w:hAnsi="Times New Roman" w:eastAsia="方正仿宋_GBK" w:cs="Times New Roman"/>
          <w:spacing w:val="-15"/>
          <w:sz w:val="30"/>
          <w:szCs w:val="30"/>
          <w:lang w:eastAsia="zh-CN"/>
        </w:rPr>
        <w:t>月</w:t>
      </w:r>
      <w:r>
        <w:rPr>
          <w:rFonts w:hint="eastAsia" w:ascii="Times New Roman" w:hAnsi="Times New Roman" w:eastAsia="方正仿宋_GBK" w:cs="Times New Roman"/>
          <w:spacing w:val="-15"/>
          <w:sz w:val="30"/>
          <w:szCs w:val="30"/>
          <w:lang w:eastAsia="zh-CN"/>
        </w:rPr>
        <w:t>开工建设</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val="en-US" w:eastAsia="zh-CN"/>
        </w:rPr>
        <w:t>于</w:t>
      </w:r>
      <w:r>
        <w:rPr>
          <w:rFonts w:hint="eastAsia" w:ascii="Times New Roman" w:hAnsi="Times New Roman" w:eastAsia="方正仿宋_GBK" w:cs="Times New Roman"/>
          <w:spacing w:val="-15"/>
          <w:sz w:val="30"/>
          <w:szCs w:val="30"/>
          <w:lang w:eastAsia="zh-CN"/>
        </w:rPr>
        <w:t>2024年12月完工</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eastAsia="zh-CN"/>
        </w:rPr>
        <w:t>该项目投产运行后，将</w:t>
      </w:r>
      <w:r>
        <w:rPr>
          <w:rFonts w:hint="eastAsia" w:ascii="Times New Roman" w:hAnsi="Times New Roman" w:eastAsia="方正仿宋_GBK" w:cs="Times New Roman"/>
          <w:sz w:val="30"/>
          <w:szCs w:val="30"/>
          <w:lang w:eastAsia="zh-CN"/>
        </w:rPr>
        <w:t>大大消除现状管道的安全隐患，保障管道的安全运行，提高污水收集率，解决系统内部分管道高水位运行等问题，从而提高城市排水和治污能力，降低城北污水处理厂运行负荷，改善南京市水体水环境。</w:t>
      </w:r>
    </w:p>
    <w:p w14:paraId="795D2324">
      <w:pPr>
        <w:numPr>
          <w:ilvl w:val="0"/>
          <w:numId w:val="2"/>
        </w:numPr>
        <w:snapToGrid w:val="0"/>
        <w:spacing w:line="574"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存在问题</w:t>
      </w:r>
    </w:p>
    <w:p w14:paraId="7A05A330">
      <w:pPr>
        <w:snapToGrid w:val="0"/>
        <w:spacing w:line="574" w:lineRule="exact"/>
        <w:ind w:firstLine="600" w:firstLineChars="200"/>
        <w:jc w:val="both"/>
        <w:textAlignment w:val="baseline"/>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（1）因项目位置较为分散，涉及管理部门及单位较多，管理制度执行方面存在一些不足；项目已完工，竣工验收、结算工作未完成。</w:t>
      </w:r>
    </w:p>
    <w:p w14:paraId="718D8BE9">
      <w:pPr>
        <w:snapToGrid w:val="0"/>
        <w:spacing w:line="574"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val="en-US" w:eastAsia="zh-CN"/>
        </w:rPr>
        <w:t>（2）因施工区域位于市中心，部分道路狭窄，交通复杂，离居民楼较近，施工过程中存在投诉情况</w:t>
      </w:r>
      <w:r>
        <w:rPr>
          <w:rFonts w:hint="eastAsia" w:ascii="Times New Roman" w:hAnsi="Times New Roman" w:eastAsia="方正仿宋_GBK" w:cs="Times New Roman"/>
          <w:sz w:val="30"/>
          <w:szCs w:val="30"/>
          <w:lang w:eastAsia="zh-CN"/>
        </w:rPr>
        <w:t>。</w:t>
      </w:r>
    </w:p>
    <w:p w14:paraId="468017DD">
      <w:pPr>
        <w:numPr>
          <w:ilvl w:val="0"/>
          <w:numId w:val="2"/>
        </w:numPr>
        <w:snapToGrid w:val="0"/>
        <w:spacing w:line="574"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有关建议</w:t>
      </w:r>
    </w:p>
    <w:p w14:paraId="4DDC1308">
      <w:pPr>
        <w:snapToGrid w:val="0"/>
        <w:spacing w:line="574" w:lineRule="exact"/>
        <w:ind w:firstLine="600" w:firstLineChars="200"/>
        <w:jc w:val="both"/>
        <w:textAlignment w:val="baseline"/>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（1）规范执行流程，建立动态进度监控机制；加强责任落实，明确各部门及人员分工，强化跨部门协同、深化监督考核，加快推进项目专项验收、竣工验收、结算等工作。</w:t>
      </w:r>
    </w:p>
    <w:p w14:paraId="2DE958D9">
      <w:pPr>
        <w:snapToGrid w:val="0"/>
        <w:spacing w:line="574"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val="en-US" w:eastAsia="zh-CN"/>
        </w:rPr>
        <w:t>（2）与各相关部门加强沟通、做好配合，加强文明施工措施，做好对周边居民的解释工作，同步加快施工进度，减少对周边影响时间</w:t>
      </w:r>
      <w:r>
        <w:rPr>
          <w:rFonts w:hint="eastAsia" w:ascii="Times New Roman" w:hAnsi="Times New Roman" w:eastAsia="方正仿宋_GBK" w:cs="Times New Roman"/>
          <w:sz w:val="30"/>
          <w:szCs w:val="30"/>
          <w:lang w:eastAsia="zh-CN"/>
        </w:rPr>
        <w:t>。</w:t>
      </w:r>
    </w:p>
    <w:p w14:paraId="6A300B80">
      <w:pPr>
        <w:snapToGrid w:val="0"/>
        <w:spacing w:line="574" w:lineRule="exact"/>
        <w:ind w:firstLine="600" w:firstLineChars="200"/>
        <w:jc w:val="both"/>
        <w:textAlignment w:val="baseline"/>
        <w:rPr>
          <w:rFonts w:hint="eastAsia" w:ascii="Times New Roman" w:hAnsi="Times New Roman" w:eastAsia="方正仿宋_GBK" w:cs="Times New Roman"/>
          <w:sz w:val="30"/>
          <w:szCs w:val="30"/>
          <w:lang w:eastAsia="zh-CN"/>
        </w:rPr>
      </w:pPr>
    </w:p>
    <w:p w14:paraId="37C73C09">
      <w:pPr>
        <w:snapToGrid w:val="0"/>
        <w:spacing w:line="560" w:lineRule="exact"/>
        <w:jc w:val="both"/>
        <w:textAlignment w:val="baseline"/>
        <w:rPr>
          <w:rFonts w:ascii="Times New Roman" w:hAnsi="Times New Roman" w:eastAsia="方正仿宋_GBK" w:cs="Times New Roman"/>
          <w:sz w:val="30"/>
          <w:szCs w:val="30"/>
          <w:lang w:eastAsia="zh-CN"/>
        </w:rPr>
      </w:pPr>
    </w:p>
    <w:p w14:paraId="70AAFC2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附表：江苏省政府专项债券项目资金绩效年度自评价情况表</w:t>
      </w:r>
    </w:p>
    <w:sectPr>
      <w:type w:val="continuous"/>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5ED979-4397-45A2-8DAB-3D78BD9851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10600010101010101"/>
    <w:charset w:val="86"/>
    <w:family w:val="swiss"/>
    <w:pitch w:val="default"/>
    <w:sig w:usb0="00000001" w:usb1="080E0000" w:usb2="00000000" w:usb3="00000000" w:csb0="00040000" w:csb1="00000000"/>
    <w:embedRegular r:id="rId2" w:fontKey="{D51BC185-7E80-4391-9415-76D9C3F9D72B}"/>
  </w:font>
  <w:font w:name="方正小标宋_GBK">
    <w:panose1 w:val="02000000000000000000"/>
    <w:charset w:val="86"/>
    <w:family w:val="script"/>
    <w:pitch w:val="default"/>
    <w:sig w:usb0="A00002BF" w:usb1="38CF7CFA" w:usb2="00082016" w:usb3="00000000" w:csb0="00040001" w:csb1="00000000"/>
    <w:embedRegular r:id="rId3" w:fontKey="{DBC9F3CC-501F-458A-B29C-38390B502F76}"/>
  </w:font>
  <w:font w:name="方正楷体_GBK">
    <w:panose1 w:val="02000000000000000000"/>
    <w:charset w:val="86"/>
    <w:family w:val="script"/>
    <w:pitch w:val="default"/>
    <w:sig w:usb0="800002BF" w:usb1="38CF7CFA" w:usb2="00000016" w:usb3="00000000" w:csb0="00040000" w:csb1="00000000"/>
    <w:embedRegular r:id="rId4" w:fontKey="{05CF8D4E-54A9-414B-A0D0-C7EE7F66B49E}"/>
  </w:font>
  <w:font w:name="方正仿宋_GBK">
    <w:panose1 w:val="02000000000000000000"/>
    <w:charset w:val="86"/>
    <w:family w:val="auto"/>
    <w:pitch w:val="default"/>
    <w:sig w:usb0="A00002BF" w:usb1="38CF7CFA" w:usb2="00082016" w:usb3="00000000" w:csb0="00040001" w:csb1="00000000"/>
    <w:embedRegular r:id="rId5" w:fontKey="{72898E8B-8CB6-4747-BEBE-6CC6ACED17E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D2F6A"/>
    <w:multiLevelType w:val="singleLevel"/>
    <w:tmpl w:val="A88D2F6A"/>
    <w:lvl w:ilvl="0" w:tentative="0">
      <w:start w:val="1"/>
      <w:numFmt w:val="chineseCounting"/>
      <w:suff w:val="nothing"/>
      <w:lvlText w:val="%1、"/>
      <w:lvlJc w:val="left"/>
      <w:rPr>
        <w:rFonts w:hint="eastAsia"/>
      </w:rPr>
    </w:lvl>
  </w:abstractNum>
  <w:abstractNum w:abstractNumId="1">
    <w:nsid w:val="B9C97F8D"/>
    <w:multiLevelType w:val="singleLevel"/>
    <w:tmpl w:val="B9C97F8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drawingGridHorizontalSpacing w:val="110"/>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NzI1NzBiODNjYzA2NTMyYWY1ZGU1NWVkOTkxYjAifQ=="/>
  </w:docVars>
  <w:rsids>
    <w:rsidRoot w:val="006A0286"/>
    <w:rsid w:val="0000186F"/>
    <w:rsid w:val="00027842"/>
    <w:rsid w:val="00040FBC"/>
    <w:rsid w:val="000F0010"/>
    <w:rsid w:val="001076FD"/>
    <w:rsid w:val="00112A3C"/>
    <w:rsid w:val="0012335B"/>
    <w:rsid w:val="00137AD9"/>
    <w:rsid w:val="00143F9D"/>
    <w:rsid w:val="001D43CE"/>
    <w:rsid w:val="001E1F08"/>
    <w:rsid w:val="001F5652"/>
    <w:rsid w:val="002034C4"/>
    <w:rsid w:val="00223670"/>
    <w:rsid w:val="0023553D"/>
    <w:rsid w:val="00296DFA"/>
    <w:rsid w:val="002F39B9"/>
    <w:rsid w:val="00317F35"/>
    <w:rsid w:val="003A42B0"/>
    <w:rsid w:val="003D4D43"/>
    <w:rsid w:val="003E1706"/>
    <w:rsid w:val="00412A90"/>
    <w:rsid w:val="00427AA3"/>
    <w:rsid w:val="00446689"/>
    <w:rsid w:val="00453872"/>
    <w:rsid w:val="004801A8"/>
    <w:rsid w:val="00485FCA"/>
    <w:rsid w:val="00491395"/>
    <w:rsid w:val="00496584"/>
    <w:rsid w:val="004B1555"/>
    <w:rsid w:val="004E3E98"/>
    <w:rsid w:val="004F2889"/>
    <w:rsid w:val="004F7183"/>
    <w:rsid w:val="005060F6"/>
    <w:rsid w:val="00541FD2"/>
    <w:rsid w:val="0055497B"/>
    <w:rsid w:val="0058181F"/>
    <w:rsid w:val="005B36C7"/>
    <w:rsid w:val="005C5968"/>
    <w:rsid w:val="005D094F"/>
    <w:rsid w:val="005D61F8"/>
    <w:rsid w:val="006032DC"/>
    <w:rsid w:val="00606488"/>
    <w:rsid w:val="006777F4"/>
    <w:rsid w:val="006A0286"/>
    <w:rsid w:val="006F1257"/>
    <w:rsid w:val="006F2AB8"/>
    <w:rsid w:val="00705B52"/>
    <w:rsid w:val="0072674E"/>
    <w:rsid w:val="007416BA"/>
    <w:rsid w:val="0075652D"/>
    <w:rsid w:val="00784065"/>
    <w:rsid w:val="007A754E"/>
    <w:rsid w:val="00830C91"/>
    <w:rsid w:val="008C735A"/>
    <w:rsid w:val="008D7527"/>
    <w:rsid w:val="008E7CA1"/>
    <w:rsid w:val="008F6FC9"/>
    <w:rsid w:val="00926E98"/>
    <w:rsid w:val="009469ED"/>
    <w:rsid w:val="0095504B"/>
    <w:rsid w:val="009B2D68"/>
    <w:rsid w:val="00A14DE2"/>
    <w:rsid w:val="00A72387"/>
    <w:rsid w:val="00A863A2"/>
    <w:rsid w:val="00AA24DC"/>
    <w:rsid w:val="00AC69E3"/>
    <w:rsid w:val="00B14C89"/>
    <w:rsid w:val="00B33955"/>
    <w:rsid w:val="00BD1F01"/>
    <w:rsid w:val="00C4168B"/>
    <w:rsid w:val="00CB64D3"/>
    <w:rsid w:val="00D20830"/>
    <w:rsid w:val="00D71C46"/>
    <w:rsid w:val="00D855DD"/>
    <w:rsid w:val="00D85F96"/>
    <w:rsid w:val="00DE067D"/>
    <w:rsid w:val="00DF053C"/>
    <w:rsid w:val="00E070F9"/>
    <w:rsid w:val="00E1011A"/>
    <w:rsid w:val="00E25446"/>
    <w:rsid w:val="00E65E3F"/>
    <w:rsid w:val="00E70A55"/>
    <w:rsid w:val="00E7746A"/>
    <w:rsid w:val="00E96755"/>
    <w:rsid w:val="00EB03FD"/>
    <w:rsid w:val="00ED06B2"/>
    <w:rsid w:val="00EF65E3"/>
    <w:rsid w:val="00F161C4"/>
    <w:rsid w:val="00F35A70"/>
    <w:rsid w:val="00F4202D"/>
    <w:rsid w:val="00F8132A"/>
    <w:rsid w:val="00FB5E7E"/>
    <w:rsid w:val="00FC405A"/>
    <w:rsid w:val="00FC7877"/>
    <w:rsid w:val="0A8078EF"/>
    <w:rsid w:val="0B271492"/>
    <w:rsid w:val="0C0D548E"/>
    <w:rsid w:val="128C4F22"/>
    <w:rsid w:val="13A91139"/>
    <w:rsid w:val="174C24A5"/>
    <w:rsid w:val="174C3434"/>
    <w:rsid w:val="1BD37048"/>
    <w:rsid w:val="1F8703AA"/>
    <w:rsid w:val="22BE5785"/>
    <w:rsid w:val="26E31FA0"/>
    <w:rsid w:val="28C818B9"/>
    <w:rsid w:val="31F26F0F"/>
    <w:rsid w:val="331217FF"/>
    <w:rsid w:val="39F175BA"/>
    <w:rsid w:val="3D0F0AFF"/>
    <w:rsid w:val="423733D6"/>
    <w:rsid w:val="4284749E"/>
    <w:rsid w:val="44E92E87"/>
    <w:rsid w:val="4506515E"/>
    <w:rsid w:val="4534013A"/>
    <w:rsid w:val="498D09C8"/>
    <w:rsid w:val="4A632895"/>
    <w:rsid w:val="4AFC4424"/>
    <w:rsid w:val="4E6768E3"/>
    <w:rsid w:val="51C66027"/>
    <w:rsid w:val="5C4E1BEB"/>
    <w:rsid w:val="6008725C"/>
    <w:rsid w:val="63CC1360"/>
    <w:rsid w:val="6B7C455F"/>
    <w:rsid w:val="7E394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autoRedefine/>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style>
  <w:style w:type="paragraph" w:styleId="5">
    <w:name w:val="Body Text"/>
    <w:basedOn w:val="1"/>
    <w:qFormat/>
    <w:uiPriority w:val="1"/>
    <w:pPr>
      <w:spacing w:before="207"/>
      <w:ind w:left="120"/>
    </w:pPr>
    <w:rPr>
      <w:rFonts w:ascii="宋体" w:hAnsi="宋体" w:eastAsia="宋体"/>
      <w:sz w:val="30"/>
      <w:szCs w:val="30"/>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8"/>
    <w:autoRedefine/>
    <w:unhideWhenUsed/>
    <w:qFormat/>
    <w:uiPriority w:val="99"/>
    <w:pPr>
      <w:tabs>
        <w:tab w:val="center" w:pos="4153"/>
        <w:tab w:val="right" w:pos="8306"/>
      </w:tabs>
      <w:snapToGrid w:val="0"/>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semiHidden/>
    <w:unhideWhenUsed/>
    <w:qFormat/>
    <w:uiPriority w:val="99"/>
    <w:rPr>
      <w:sz w:val="21"/>
      <w:szCs w:val="21"/>
    </w:rPr>
  </w:style>
  <w:style w:type="table" w:customStyle="1" w:styleId="13">
    <w:name w:val="Table Normal"/>
    <w:autoRedefine/>
    <w:semiHidden/>
    <w:unhideWhenUsed/>
    <w:qFormat/>
    <w:uiPriority w:val="2"/>
    <w:tblPr>
      <w:tblCellMar>
        <w:top w:w="0" w:type="dxa"/>
        <w:left w:w="0" w:type="dxa"/>
        <w:bottom w:w="0" w:type="dxa"/>
        <w:right w:w="0" w:type="dxa"/>
      </w:tblCellMar>
    </w:tblPr>
  </w:style>
  <w:style w:type="paragraph" w:styleId="14">
    <w:name w:val="List Paragraph"/>
    <w:basedOn w:val="1"/>
    <w:autoRedefine/>
    <w:qFormat/>
    <w:uiPriority w:val="1"/>
  </w:style>
  <w:style w:type="paragraph" w:customStyle="1" w:styleId="15">
    <w:name w:val="Table Paragraph"/>
    <w:basedOn w:val="1"/>
    <w:autoRedefine/>
    <w:qFormat/>
    <w:uiPriority w:val="1"/>
  </w:style>
  <w:style w:type="paragraph" w:customStyle="1" w:styleId="16">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7">
    <w:name w:val="页眉 字符"/>
    <w:basedOn w:val="11"/>
    <w:link w:val="8"/>
    <w:autoRedefine/>
    <w:qFormat/>
    <w:uiPriority w:val="99"/>
    <w:rPr>
      <w:sz w:val="18"/>
      <w:szCs w:val="18"/>
    </w:rPr>
  </w:style>
  <w:style w:type="character" w:customStyle="1" w:styleId="18">
    <w:name w:val="页脚 字符"/>
    <w:basedOn w:val="11"/>
    <w:link w:val="7"/>
    <w:qFormat/>
    <w:uiPriority w:val="99"/>
    <w:rPr>
      <w:sz w:val="18"/>
      <w:szCs w:val="18"/>
    </w:rPr>
  </w:style>
  <w:style w:type="character" w:customStyle="1" w:styleId="19">
    <w:name w:val="批注框文本 字符"/>
    <w:basedOn w:val="11"/>
    <w:link w:val="6"/>
    <w:autoRedefine/>
    <w:semiHidden/>
    <w:qFormat/>
    <w:uiPriority w:val="99"/>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2195</Words>
  <Characters>2323</Characters>
  <Lines>17</Lines>
  <Paragraphs>4</Paragraphs>
  <TotalTime>3</TotalTime>
  <ScaleCrop>false</ScaleCrop>
  <LinksUpToDate>false</LinksUpToDate>
  <CharactersWithSpaces>2325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2022-06-30T02:48:00Z</dcterms:created>
  <dc:creator>张肖军(拟稿)</dc:creator>
  <cp:lastModifiedBy>zyf</cp:lastModifiedBy>
  <dcterms:modified xsi:type="dcterms:W3CDTF">2025-06-05T01:14:14Z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31D893BC95D743ADA10F7412BC3DA224_13</vt:lpwstr>
  </property>
  <property fmtid="{D5CDD505-2E9C-101B-9397-08002B2CF9AE}" pid="4" name="KSOTemplateDocerSaveRecord">
    <vt:lpwstr>eyJoZGlkIjoiOTBkNzI1NzBiODNjYzA2NTMyYWY1ZGU1NWVkOTkxYjAiLCJ1c2VySWQiOiI2OTk2MjA1NTYifQ==</vt:lpwstr>
  </property>
</Properties>
</file>