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7CDE3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386750B7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57263C6E">
      <w:pPr>
        <w:snapToGrid w:val="0"/>
        <w:spacing w:line="560" w:lineRule="exact"/>
        <w:jc w:val="center"/>
        <w:textAlignment w:val="baseline"/>
        <w:rPr>
          <w:rFonts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ascii="Times New Roman" w:hAnsi="Times New Roman" w:eastAsia="方正小标宋_GBK" w:cs="Times New Roman"/>
          <w:sz w:val="44"/>
          <w:szCs w:val="44"/>
          <w:lang w:eastAsia="zh-CN"/>
        </w:rPr>
        <w:t>江苏省政府专项债券项目绩效自评价报告</w:t>
      </w:r>
    </w:p>
    <w:p w14:paraId="54AF5683">
      <w:pPr>
        <w:snapToGrid w:val="0"/>
        <w:spacing w:line="560" w:lineRule="exact"/>
        <w:jc w:val="center"/>
        <w:textAlignment w:val="baseline"/>
        <w:rPr>
          <w:rFonts w:ascii="Times New Roman" w:hAnsi="Times New Roman" w:eastAsia="方正楷体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楷体_GBK" w:cs="Times New Roman"/>
          <w:sz w:val="21"/>
          <w:szCs w:val="21"/>
          <w:lang w:eastAsia="zh-CN"/>
        </w:rPr>
        <w:t>城东污水系统管网排查专项整治第三批工程(南站创新街等8条道路)</w:t>
      </w:r>
    </w:p>
    <w:p w14:paraId="47B0E25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楷体_GBK" w:cs="Times New Roman"/>
          <w:sz w:val="30"/>
          <w:szCs w:val="30"/>
          <w:lang w:eastAsia="zh-CN"/>
        </w:rPr>
      </w:pPr>
    </w:p>
    <w:p w14:paraId="2FC30172">
      <w:pPr>
        <w:numPr>
          <w:ilvl w:val="0"/>
          <w:numId w:val="1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634A0688">
      <w:pPr>
        <w:pStyle w:val="5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4563FA10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南京市城镇污水处理提质增效精准攻坚"333"行动方案》的要求，结合南京市城乡建设计划，城东污水收集处理系统项目计划利用3-5年时间对片区污水管网（含新移交）进行整改。目前已在实施的城东污水系统管网排查-专项整治工程（第一批）、（第二批）对污水收集处理系统中的过河管、无出路管道及秦虹、麒麟等片区的管网进行了整改。本次启动的城东污水系统管网排查专项整治第三批工程（南站创新街等8条道路），主要实施南京南站片区的污水管网整改。本工程位于南京市雨花台区、江宁区，片区水系主要为秦淮新河、鞭鞍河、下坝河、农花河等水系。</w:t>
      </w:r>
    </w:p>
    <w:p w14:paraId="789E3F76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本项目范围内主要问题如下：</w:t>
      </w:r>
    </w:p>
    <w:p w14:paraId="67AA4B1B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①管材问题：研究范围内主要为塑料管，易发生变形、破损等问题；</w:t>
      </w:r>
    </w:p>
    <w:p w14:paraId="782F94BB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②缺陷问题：创新街等8条路污水管道共存在191处管道缺陷，管道缺陷率约为74%，其中结构性缺陷占比总缺陷的76%，存在缺陷的污水管道影响污水管的安全运行，存在安全隐患；</w:t>
      </w:r>
    </w:p>
    <w:p w14:paraId="5AA308F3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③随着片区内入住人口增加，在民生路、六朝路与博爱街路口等地多次出现污水漫溢的问题，片区内的污水管道亟需整治。</w:t>
      </w:r>
    </w:p>
    <w:p w14:paraId="22106526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响应《江苏省城镇污水处理提质增效精准攻坚"333"行动方案》及《南京市城镇污水处理提质增效精准攻坚"333"行动方案》提出改善城市水环境质量，加快补齐城镇污水收集和处理设施短板，提升城镇污水收集处理效能，要求攻坚旱天雨水直排、雨天合流制溢流等难点问题，突出污水源头收集和污染源头管控，着力提高污水处理厂进水浓度，降低污水系统管网运行水位，全面推动污水处理提质增效，实现“污水不入河、外水不进管、进水高浓度、减排高效能”的要求，并可提高污水厂进水浓度，减排高效能。</w:t>
      </w:r>
    </w:p>
    <w:p w14:paraId="3E342B63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因此，实施城东污水系统管网排查专项整治第三批工程（南站创新街等8条道路），可进一步消除城东污水收集系统现状污水管网的安全隐患，提升污水收集率，保障南站片区创新街等8条道路下污水管道安全运行，做好中央环保督察和长江经济带警示片涉水问题整改。</w:t>
      </w:r>
    </w:p>
    <w:p w14:paraId="1037E485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本工程符合《南京市主城污水主次干管专项规划（2018—2035）》中相关要求。由于管道为现状管线整改，基本为原管径原管位，不涉及征地拆迁，满足文保、水利、生态保护的要求。</w:t>
      </w:r>
    </w:p>
    <w:p w14:paraId="518BAB3A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4BBBB0DC">
      <w:pPr>
        <w:snapToGrid/>
        <w:spacing w:line="360" w:lineRule="auto"/>
        <w:ind w:firstLine="600" w:firstLineChars="200"/>
        <w:jc w:val="both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实施范围北至绕城公路，南至秦淮新河，西至宁宣高速，东至双龙大道，面积约为5.89km2，共有28条市政道路，已移交市水务集团管养的市政污水设施量约为29.11km。本次设计共涉及其中创新街等8条道路。共整治修复DN300~DN400污水管道约4.5千米,其中更换DN300~DN400污水管道约3.5千米，通过非开挖修复、障碍物清除等方式整治修复DN300~DN400污水管道约1.0千米，同步更换 d600雨水管道84米。</w:t>
      </w:r>
    </w:p>
    <w:p w14:paraId="51C79D4E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6806C130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red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4、资金投入：本项目投资概算约为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7218.18万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元，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其中20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24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年专项债总额1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00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元。</w:t>
      </w:r>
    </w:p>
    <w:p w14:paraId="6B121A95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63A06926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095A3DDB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307DAA4A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本工程的建设保障了城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系统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南站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片区的正常运行，能有效的改善水环境，保证地区的可持续发展，为居民提供更好的生活环境。</w:t>
      </w:r>
    </w:p>
    <w:p w14:paraId="424C51E8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52B23151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项目实施后可以提高污水厂进厂浓度，提升了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东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污水系统水环境质量，减少污水管网渗漏对河道、地下水及土壤的污染，营造水清景美的水生活环境，有力保障了人民的生活质量，最终为长江生态保护修复提供有力支撑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093661BF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1CC2E300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eastAsia="zh-CN"/>
        </w:rPr>
        <w:t>污水收集和处理是投资环境的重要内容，对于吸引投资具有重要影响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。本项目完成后，地区水环境将得到明显改观，水环境污染问题逐步得到解决，有利于投资环境的改善，增加招商引资的吸引力。</w:t>
      </w:r>
    </w:p>
    <w:p w14:paraId="4A36A5BD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717F5D81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7622D0C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本次改造工程实施，旨在消除城东污水收集系统南京南站片区现状管网的安全隐患，保障南站片区创新街等8条道路下污水管道的安全运行，提高污水收集率，解决系统内部分管道高水位运行等问题。</w:t>
      </w:r>
    </w:p>
    <w:p w14:paraId="0ED4313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部分道路污水管道改造已完成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7229639F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0A189DEE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项目资金管理评价主要依据《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地方政府专项债券项目资金绩效管理办法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》等对专项债券资金的使用管理要求设置细化指标，进行管理、考核。</w:t>
      </w:r>
    </w:p>
    <w:p w14:paraId="07F10F8C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7F56D488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指标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实际完成情况。专项债券的使用确保项目建设顺利进行，</w:t>
      </w:r>
      <w:r>
        <w:rPr>
          <w:rFonts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项目于20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2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val="en-US" w:eastAsia="zh-CN"/>
        </w:rPr>
        <w:t>10</w:t>
      </w:r>
      <w:r>
        <w:rPr>
          <w:rFonts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开工建设</w:t>
      </w:r>
      <w:r>
        <w:rPr>
          <w:rFonts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2024年12月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val="en-US" w:eastAsia="zh-CN"/>
        </w:rPr>
        <w:t>已全部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完工，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7D0A442F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1C163693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根据江苏省预算项目支出绩效指标体系，对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污水系统管网排查-专项整治第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批工程专项债券资金从过程、产出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现场的实体工作量已按照计划全部完成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，综合评分等级为“优”。</w:t>
      </w:r>
    </w:p>
    <w:p w14:paraId="07909E41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三、项目绩效</w:t>
      </w:r>
    </w:p>
    <w:p w14:paraId="32E5CE90">
      <w:pPr>
        <w:snapToGrid w:val="0"/>
        <w:spacing w:line="574" w:lineRule="exact"/>
        <w:ind w:firstLine="54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专项债券主要用于项目建设阶段工程费用的使用，20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23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val="en-US" w:eastAsia="zh-CN"/>
        </w:rPr>
        <w:t>10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开工建设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，</w:t>
      </w:r>
      <w:bookmarkStart w:id="0" w:name="_GoBack"/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2024年12月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val="en-US" w:eastAsia="zh-CN"/>
        </w:rPr>
        <w:t>已全部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完工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。</w:t>
      </w:r>
      <w:bookmarkEnd w:id="0"/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大大消除现状管道的安全隐患，保障管道的安全运行，提高污水收集率，解决系统内部分管道高水位运行等问题，从而提高城市排水和治污能力，降低城北污水处理厂运行负荷，改善南京市水体水环境。</w:t>
      </w:r>
    </w:p>
    <w:p w14:paraId="36A1433D">
      <w:pPr>
        <w:numPr>
          <w:ilvl w:val="0"/>
          <w:numId w:val="2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存在问题</w:t>
      </w:r>
    </w:p>
    <w:p w14:paraId="2CDD0813">
      <w:pPr>
        <w:numPr>
          <w:ilvl w:val="0"/>
          <w:numId w:val="0"/>
        </w:numPr>
        <w:snapToGrid w:val="0"/>
        <w:spacing w:line="574" w:lineRule="exact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 xml:space="preserve">      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 xml:space="preserve">  1、项目前期研究阶段所依据的CCTV检测资料由于年代久远，故导致部分数据不太准确，造成部分无需整治的管段包含在整改方案内；铁路、地铁、燃气、电力等现状障碍物的修测数据不准确，对项目安全、迅速的推进造成了很大的阻力。</w:t>
      </w:r>
    </w:p>
    <w:p w14:paraId="451733A5">
      <w:pPr>
        <w:numPr>
          <w:ilvl w:val="0"/>
          <w:numId w:val="0"/>
        </w:numPr>
        <w:snapToGrid w:val="0"/>
        <w:spacing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2、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因施工区域位于市中心，施工过程中存在投诉情况。</w:t>
      </w:r>
    </w:p>
    <w:p w14:paraId="0DBAA9E5">
      <w:pPr>
        <w:numPr>
          <w:ilvl w:val="0"/>
          <w:numId w:val="2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有关建议</w:t>
      </w:r>
    </w:p>
    <w:p w14:paraId="709A0F85">
      <w:pPr>
        <w:numPr>
          <w:ilvl w:val="0"/>
          <w:numId w:val="3"/>
        </w:num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与各相关部门加强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以及各管线权属单位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沟通、做好配合，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征得其他单位的全力支持会使得该项目能够更加顺利的推进。</w:t>
      </w:r>
    </w:p>
    <w:p w14:paraId="6CE5636E">
      <w:pPr>
        <w:numPr>
          <w:ilvl w:val="0"/>
          <w:numId w:val="3"/>
        </w:num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与各相关部门加强沟通、做好配合，抓紧推进工程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建设，同步加强文明施工措施。</w:t>
      </w:r>
    </w:p>
    <w:p w14:paraId="3B3371FA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</w:p>
    <w:p w14:paraId="3227C229">
      <w:pPr>
        <w:snapToGrid w:val="0"/>
        <w:spacing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</w:p>
    <w:p w14:paraId="62292E32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pacing w:val="-4"/>
          <w:sz w:val="30"/>
          <w:szCs w:val="30"/>
          <w:lang w:eastAsia="zh-CN"/>
        </w:rPr>
      </w:pPr>
    </w:p>
    <w:p w14:paraId="64FBC0C2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50CA58A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CE0798-B5A5-427D-ABC4-F4E11A7693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10600010101010101"/>
    <w:charset w:val="86"/>
    <w:family w:val="swiss"/>
    <w:pitch w:val="default"/>
    <w:sig w:usb0="00000001" w:usb1="080E0000" w:usb2="00000000" w:usb3="00000000" w:csb0="00040000" w:csb1="00000000"/>
    <w:embedRegular r:id="rId2" w:fontKey="{83E101F0-F97C-4A1C-9414-E4D81C493C2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3F6AC58-B20A-4A15-85EB-3673EC8DB38B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4" w:fontKey="{9BA35715-F6B2-49FA-9F8A-B49831C7449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9121FC7C-5F4F-450F-A670-0710283D852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CC90635"/>
    <w:multiLevelType w:val="singleLevel"/>
    <w:tmpl w:val="0CC9063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7842"/>
    <w:rsid w:val="00040FBC"/>
    <w:rsid w:val="000F0010"/>
    <w:rsid w:val="001076FD"/>
    <w:rsid w:val="00112A3C"/>
    <w:rsid w:val="0012335B"/>
    <w:rsid w:val="00137AD9"/>
    <w:rsid w:val="00143F9D"/>
    <w:rsid w:val="001D43CE"/>
    <w:rsid w:val="001E1F08"/>
    <w:rsid w:val="001F5652"/>
    <w:rsid w:val="002034C4"/>
    <w:rsid w:val="00223670"/>
    <w:rsid w:val="0023553D"/>
    <w:rsid w:val="00296DFA"/>
    <w:rsid w:val="002F39B9"/>
    <w:rsid w:val="00317F35"/>
    <w:rsid w:val="003A42B0"/>
    <w:rsid w:val="003D4D43"/>
    <w:rsid w:val="003E1706"/>
    <w:rsid w:val="00412A90"/>
    <w:rsid w:val="00427AA3"/>
    <w:rsid w:val="00446689"/>
    <w:rsid w:val="00453872"/>
    <w:rsid w:val="004801A8"/>
    <w:rsid w:val="00485FCA"/>
    <w:rsid w:val="00491395"/>
    <w:rsid w:val="00496584"/>
    <w:rsid w:val="004B1555"/>
    <w:rsid w:val="004E3E98"/>
    <w:rsid w:val="004F2889"/>
    <w:rsid w:val="004F7183"/>
    <w:rsid w:val="005060F6"/>
    <w:rsid w:val="00541FD2"/>
    <w:rsid w:val="0055497B"/>
    <w:rsid w:val="0058181F"/>
    <w:rsid w:val="005B36C7"/>
    <w:rsid w:val="005C5968"/>
    <w:rsid w:val="005D094F"/>
    <w:rsid w:val="005D61F8"/>
    <w:rsid w:val="006032DC"/>
    <w:rsid w:val="00606488"/>
    <w:rsid w:val="006777F4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E7CA1"/>
    <w:rsid w:val="008F6FC9"/>
    <w:rsid w:val="00926E98"/>
    <w:rsid w:val="009469ED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4168B"/>
    <w:rsid w:val="00CB64D3"/>
    <w:rsid w:val="00D20830"/>
    <w:rsid w:val="00D71C46"/>
    <w:rsid w:val="00D855DD"/>
    <w:rsid w:val="00D85F96"/>
    <w:rsid w:val="00DE067D"/>
    <w:rsid w:val="00DF053C"/>
    <w:rsid w:val="00E070F9"/>
    <w:rsid w:val="00E1011A"/>
    <w:rsid w:val="00E25446"/>
    <w:rsid w:val="00E65E3F"/>
    <w:rsid w:val="00E70A55"/>
    <w:rsid w:val="00E7746A"/>
    <w:rsid w:val="00E96755"/>
    <w:rsid w:val="00EB03FD"/>
    <w:rsid w:val="00ED06B2"/>
    <w:rsid w:val="00EF65E3"/>
    <w:rsid w:val="00F161C4"/>
    <w:rsid w:val="00F35A70"/>
    <w:rsid w:val="00F4202D"/>
    <w:rsid w:val="00F8132A"/>
    <w:rsid w:val="00FB5E7E"/>
    <w:rsid w:val="00FC405A"/>
    <w:rsid w:val="00FC7877"/>
    <w:rsid w:val="0A8078EF"/>
    <w:rsid w:val="0B271492"/>
    <w:rsid w:val="0C0D548E"/>
    <w:rsid w:val="128C4F22"/>
    <w:rsid w:val="13A91139"/>
    <w:rsid w:val="174C3434"/>
    <w:rsid w:val="1BD37048"/>
    <w:rsid w:val="1F8703AA"/>
    <w:rsid w:val="262642BD"/>
    <w:rsid w:val="28C818B9"/>
    <w:rsid w:val="331217FF"/>
    <w:rsid w:val="4284749E"/>
    <w:rsid w:val="42B5133A"/>
    <w:rsid w:val="4506515E"/>
    <w:rsid w:val="4534013A"/>
    <w:rsid w:val="498D09C8"/>
    <w:rsid w:val="4A632895"/>
    <w:rsid w:val="4AFC4424"/>
    <w:rsid w:val="4E6768E3"/>
    <w:rsid w:val="5406372B"/>
    <w:rsid w:val="5C4E1BEB"/>
    <w:rsid w:val="6008725C"/>
    <w:rsid w:val="63CC1360"/>
    <w:rsid w:val="6806397C"/>
    <w:rsid w:val="6B7C455F"/>
    <w:rsid w:val="6C7521E8"/>
    <w:rsid w:val="6F847DEB"/>
    <w:rsid w:val="7051720B"/>
    <w:rsid w:val="79200E1E"/>
    <w:rsid w:val="7E394A4F"/>
    <w:rsid w:val="7F57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autoRedefine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</w:style>
  <w:style w:type="paragraph" w:styleId="5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6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autoRedefine/>
    <w:qFormat/>
    <w:uiPriority w:val="1"/>
  </w:style>
  <w:style w:type="paragraph" w:customStyle="1" w:styleId="15">
    <w:name w:val="Table Paragraph"/>
    <w:basedOn w:val="1"/>
    <w:autoRedefine/>
    <w:qFormat/>
    <w:uiPriority w:val="1"/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字符"/>
    <w:basedOn w:val="11"/>
    <w:link w:val="6"/>
    <w:autoRedefine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2407</Words>
  <Characters>2519</Characters>
  <Lines>17</Lines>
  <Paragraphs>4</Paragraphs>
  <TotalTime>4</TotalTime>
  <ScaleCrop>false</ScaleCrop>
  <LinksUpToDate>false</LinksUpToDate>
  <CharactersWithSpaces>2528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2022-06-30T02:48:00Z</dcterms:created>
  <dc:creator>张肖军(拟稿)</dc:creator>
  <cp:lastModifiedBy>zyf</cp:lastModifiedBy>
  <dcterms:modified xsi:type="dcterms:W3CDTF">2025-06-05T01:41:52Z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27F571BC89954E5FA0A220CCB777FFF3_13</vt:lpwstr>
  </property>
  <property fmtid="{D5CDD505-2E9C-101B-9397-08002B2CF9AE}" pid="4" name="KSOTemplateDocerSaveRecord">
    <vt:lpwstr>eyJoZGlkIjoiOTBkNzI1NzBiODNjYzA2NTMyYWY1ZGU1NWVkOTkxYjAiLCJ1c2VySWQiOiI2OTk2MjA1NTYifQ==</vt:lpwstr>
  </property>
</Properties>
</file>