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D71B2">
      <w:pPr>
        <w:snapToGrid w:val="0"/>
        <w:spacing w:before="9" w:line="560" w:lineRule="exact"/>
        <w:ind w:left="120"/>
        <w:textAlignment w:val="baseline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附件2-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5</w:t>
      </w:r>
    </w:p>
    <w:p w14:paraId="030A3D8F">
      <w:pPr>
        <w:snapToGrid w:val="0"/>
        <w:spacing w:before="2" w:line="560" w:lineRule="exact"/>
        <w:textAlignment w:val="baseline"/>
        <w:rPr>
          <w:rFonts w:ascii="Times New Roman" w:hAnsi="Times New Roman" w:eastAsia="宋体" w:cs="Times New Roman"/>
          <w:sz w:val="27"/>
          <w:szCs w:val="27"/>
          <w:lang w:eastAsia="zh-CN"/>
        </w:rPr>
      </w:pPr>
    </w:p>
    <w:p w14:paraId="1122C902">
      <w:pPr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江苏省政府专项债券项目绩效自评价报告</w:t>
      </w:r>
    </w:p>
    <w:p w14:paraId="041A1E1D">
      <w:pPr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城北污水系统管网排查 专项整治工程（第三批）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）</w:t>
      </w:r>
    </w:p>
    <w:p w14:paraId="2BC3622F">
      <w:pPr>
        <w:snapToGrid w:val="0"/>
        <w:spacing w:line="560" w:lineRule="exact"/>
        <w:jc w:val="both"/>
        <w:textAlignment w:val="baseline"/>
        <w:rPr>
          <w:rFonts w:ascii="Times New Roman" w:hAnsi="Times New Roman" w:eastAsia="方正楷体_GBK" w:cs="Times New Roman"/>
          <w:sz w:val="30"/>
          <w:szCs w:val="30"/>
          <w:lang w:eastAsia="zh-CN"/>
        </w:rPr>
      </w:pPr>
    </w:p>
    <w:p w14:paraId="4D745743">
      <w:pPr>
        <w:numPr>
          <w:ilvl w:val="0"/>
          <w:numId w:val="1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项目情况</w:t>
      </w:r>
    </w:p>
    <w:p w14:paraId="2C04063C">
      <w:pPr>
        <w:pStyle w:val="6"/>
        <w:spacing w:before="0" w:line="560" w:lineRule="exact"/>
        <w:ind w:left="0" w:firstLine="600" w:firstLineChars="200"/>
        <w:rPr>
          <w:rFonts w:ascii="Times New Roman" w:hAnsi="Times New Roman" w:eastAsia="方正仿宋_GBK" w:cs="Times New Roman"/>
          <w:lang w:eastAsia="zh-CN"/>
        </w:rPr>
      </w:pPr>
      <w:r>
        <w:rPr>
          <w:rFonts w:hint="eastAsia" w:ascii="Times New Roman" w:hAnsi="Times New Roman" w:eastAsia="方正仿宋_GBK" w:cs="Times New Roman"/>
          <w:lang w:eastAsia="zh-CN"/>
        </w:rPr>
        <w:t>1、项目背景</w:t>
      </w:r>
    </w:p>
    <w:p w14:paraId="7B3A9713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根据《城镇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处理提质增效三年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行动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方案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2019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-2021）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》，建立污水管网排查和周期性检测制度。按照设施权属及运行维护职责分工，全面排查污水管网等设施功能状况、错接混接等基本情况及用户接入情况。依法建立市政排水管网地理信息系统（GIS），实现管网信息化、账册化管理。落实排水管网周期性检测评估制度，建立和完善基于GIS系统的动态更新机制，逐步建立以5~10年为一个排查周期的长效机制和费用保障机制。对于排查发现的市政无主污水管段或设施，稳步推进确权和权属移交工作。居民小区、公共建筑及企事业单位内部等非市政污水管网排查工作，由设施权属单位或物业代管单位及有关主管部门建立排查机制，逐步完成建筑用地红线内管网混接错接排查与改造。</w:t>
      </w:r>
    </w:p>
    <w:p w14:paraId="11C2A8C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南京市城北污水处理厂位于鼓楼区金川河入江口处西侧，宝塔桥西街南侧，项目于2003年竣工，设计处理规模30万m</w:t>
      </w:r>
      <w:r>
        <w:rPr>
          <w:rFonts w:ascii="Cambria" w:hAnsi="Cambria" w:eastAsia="方正仿宋_GBK" w:cs="Cambria"/>
          <w:sz w:val="30"/>
          <w:szCs w:val="30"/>
          <w:lang w:eastAsia="zh-CN"/>
        </w:rPr>
        <w:t>³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/d，是南京市污水处理系统的重要组成部分，污水处理采用Unitank活性污泥法工艺与深度处理工艺（高效混凝沉淀池+曝气生物滤池+转盘滤布滤池），出水执行《城镇污水处理厂污染物排放标准》（GB18918-2002）一级A标准。根据市政府会议纪要要求，城北污水处理厂出水控制标准氨氮夏季为≤0.8mg/L，冬季为≤1.0mg/L。</w:t>
      </w:r>
    </w:p>
    <w:p w14:paraId="73D23501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城北污水处理厂进水浓度一直处于偏低状态，经过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即查即改及相关工程的实施，现在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200以上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了，但是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仍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低于设计值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。城北污水处理厂近三年水质情况，201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9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年进水浓度均值为1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92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mg/L，20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年进水浓度均值为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205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mg/L，20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21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年进水浓度均值为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213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mg/L（城北污水处理厂设计进水CODcr浓度为250mg/L），均低于设计CODcr浓度。低浓度污水致使污水厂运行负荷远小于设计负荷，严重影响水污染减排工作；低浓度运行不能完全发挥污水厂的处理效能，造成资金和能源的大量浪费。</w:t>
      </w:r>
    </w:p>
    <w:p w14:paraId="0A2FB998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为提高城北污水处理厂进水浓度，降低污水系统管网运行水位，全面推动污水处理提质增效，为内金川河水质稳定达标提供保障，南京水务集团有限公司于2020年启动城北污水系统管网排查专项整治工程（第三批）的前期工作，并于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021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年取得立项批复宁水建【2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021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】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538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号，2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022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年取得初步设计批复宁水建【2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022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】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494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号。</w:t>
      </w:r>
    </w:p>
    <w:p w14:paraId="70799B57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2、主要内容：</w:t>
      </w:r>
    </w:p>
    <w:p w14:paraId="7F5856DC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工程位于南京市鼓楼区，工程范围为南起北京西路，北至新模范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马路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，东至玄武湖，西至虎踞北路一带，面积4.35平方公里，片区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属于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A片区。为落实《江苏省城镇污水处理提质增效精准攻坚“333”行动方案》，提升污水收集率，改善区域水环境，促进长江经济带高质量发展，项目主要整改缺陷污水管线。</w:t>
      </w:r>
    </w:p>
    <w:p w14:paraId="1E26559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本项目主要内容涉及整改DN200~DN1000 污水管约7.9千米，其中开挖更换DN300~DN600污水管约1.7千米，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内衬修复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DN200~DN1000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污水管约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5.3千米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，人工、机械清理约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0.9千米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。同步开挖更换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DN300~DN800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雨水管约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0.17千米。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同时修复市政道路下问题检查井及井盖共1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座，沿河管检查井修复5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8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座，增设液位计2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个。</w:t>
      </w:r>
    </w:p>
    <w:p w14:paraId="1962978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3、实施方式：用于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项目建设阶段工程费用投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入。</w:t>
      </w:r>
    </w:p>
    <w:p w14:paraId="51A7BCB0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4、资金投入：本项目投资概算约为</w:t>
      </w:r>
      <w:r>
        <w:rPr>
          <w:rFonts w:ascii="Times New Roman" w:hAnsi="宋体" w:cs="Times New Roman"/>
          <w:sz w:val="28"/>
          <w:szCs w:val="28"/>
          <w:highlight w:val="none"/>
          <w:lang w:eastAsia="zh-CN"/>
        </w:rPr>
        <w:t>8996.17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万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元，其中202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4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年专项债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总额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1700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万元。</w:t>
      </w:r>
    </w:p>
    <w:p w14:paraId="0C54107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5、资金使用：专项债资金全部实行专账管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理、专款专用，严格执行集团公司资金审批办法，按月度资金计划把控项目支出，确保专项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资金能最大限度地发挥其作用，实现巨大的社会效益。</w:t>
      </w:r>
    </w:p>
    <w:p w14:paraId="1DB182C0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（二）绩效目标</w:t>
      </w:r>
    </w:p>
    <w:p w14:paraId="2CE9FB73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（1）社会效益</w:t>
      </w:r>
    </w:p>
    <w:p w14:paraId="6E97FC99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本工程的建设保障了南京市主城区污水系统的安全运行，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解决现状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污水收集系统存在的安全与环境风险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建成后可缓解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城北污水厂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高水位运行，保障污水系统安全与稳定运行。</w:t>
      </w:r>
    </w:p>
    <w:p w14:paraId="03263FC7">
      <w:pPr>
        <w:snapToGrid w:val="0"/>
        <w:spacing w:line="560" w:lineRule="exact"/>
        <w:ind w:firstLine="900" w:firstLineChars="3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（2）环境效益</w:t>
      </w:r>
    </w:p>
    <w:p w14:paraId="3C10EED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项目实施后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实现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高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水位运行，确保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污水收集系统污水不外溢，满足事故零排放，确保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污水收集系统服务范围内的水环境安全。</w:t>
      </w:r>
    </w:p>
    <w:p w14:paraId="646F8602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（3）经济效益</w:t>
      </w:r>
    </w:p>
    <w:p w14:paraId="1D3BC58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污水收集和处理是投资环境的重要内容，对于吸引投资具有重要影响。本项目完成后，地区水环境将得到明显改观，水环境污染问题逐步得到解决，有利于投资环境的改善，增加招商引资的吸引力。</w:t>
      </w:r>
    </w:p>
    <w:p w14:paraId="23FCC6D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二、评价情况</w:t>
      </w:r>
    </w:p>
    <w:p w14:paraId="05CC3552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（一）项目特点分析</w:t>
      </w:r>
    </w:p>
    <w:p w14:paraId="080A7B1D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本次污水收集系统工程实施，旨在缓解污水高水位运行，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实现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管道检修而系统不减产的目标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</w:t>
      </w:r>
    </w:p>
    <w:p w14:paraId="1A5CC436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已完成部分污水管道敷设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养护成本明显降低。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绩效评价主要集中为过程指标和产出指标，以评价项目资金管理、项目建设进度、安全生产等相关情况。</w:t>
      </w:r>
    </w:p>
    <w:p w14:paraId="7C94F73B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（二）评价思路方法</w:t>
      </w:r>
    </w:p>
    <w:p w14:paraId="1A5A5AD0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项目资金管理评价主要依据《专项债券项目资金使用协议》等对专项债券资金的使用管理要求设置细化指标，进行管理、考核。</w:t>
      </w:r>
    </w:p>
    <w:p w14:paraId="20B53109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（三）评价工作情况</w:t>
      </w:r>
    </w:p>
    <w:p w14:paraId="4A70CC48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对照设置的考核指标和评分依据逐项进行跟踪评价，评判各项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指标</w:t>
      </w:r>
      <w:bookmarkStart w:id="0" w:name="_GoBack"/>
      <w:bookmarkEnd w:id="0"/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实际完成情况。专项债券的使用确保项目建设顺利进行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债券资金严格按照资金使用的相关管理要求执行，严格资金使用范围，保证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资金专款专用。</w:t>
      </w:r>
    </w:p>
    <w:p w14:paraId="1CFCEDAD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hint="eastAsia" w:ascii="Times New Roman" w:hAnsi="Times New Roman" w:eastAsia="方正楷体_GBK" w:cs="Times New Roman"/>
          <w:spacing w:val="-4"/>
          <w:sz w:val="30"/>
          <w:szCs w:val="30"/>
          <w:lang w:eastAsia="zh-CN"/>
        </w:rPr>
        <w:t>（四）</w:t>
      </w: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绩效评价结论</w:t>
      </w:r>
    </w:p>
    <w:p w14:paraId="272B7924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根据江苏省预算项目支出绩效指标体系，对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城北污水系统管网排查 专项整治工程（第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批）专项债券资金从过程、产出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、效益、满意度四个维度进行自评价，资金管理规范，项目进展顺利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项目正在建设中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，工程实施过程中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未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发生造成重大社会影响的质量安全事件，综合评分等级为“优”。</w:t>
      </w:r>
    </w:p>
    <w:p w14:paraId="2BEEAA1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  <w:t>三、项目绩效</w:t>
      </w:r>
    </w:p>
    <w:p w14:paraId="3BD8B0E1">
      <w:pPr>
        <w:snapToGrid w:val="0"/>
        <w:spacing w:line="560" w:lineRule="exact"/>
        <w:ind w:firstLine="54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专项债券主要用于项目建设阶段工程费用的使用。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该项目投产运行后，将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大大消除现状管道的安全隐患，保障管道的安全运行，提高污水收集率，解决系统内部分管道高水位运行等问题，从而提高城市排水和治污能力，降低城北污水处理厂运行负荷，改善南京市水体水环境。</w:t>
      </w:r>
    </w:p>
    <w:p w14:paraId="41CB31AF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eastAsia="zh-CN"/>
        </w:rPr>
        <w:t>存在问题</w:t>
      </w:r>
    </w:p>
    <w:p w14:paraId="39707318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1、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 w:bidi="ar-SA"/>
        </w:rPr>
        <w:t>本工程已完成约7.6千米污水管的缺陷整治，剩余0.3千米位于1002军工厂内，需军工厂同意后方可实施。</w:t>
      </w:r>
    </w:p>
    <w:p w14:paraId="06D51386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2、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管道施工过程中因涉及道路开挖、土方运输以及局部交通管制，对周边居民造成一定影响。</w:t>
      </w:r>
    </w:p>
    <w:p w14:paraId="5D083E1A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有关建议</w:t>
      </w:r>
    </w:p>
    <w:p w14:paraId="2D5CE3C8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1、为推动涉及1002军工厂处管线修复，我集团会同市水务局、鼓楼区水务局、街道以及社区与军工厂开展多轮对接。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 w:bidi="ar-SA"/>
        </w:rPr>
        <w:t>经协调，计划于2025年6月上旬实施，2025年6月底完工。</w:t>
      </w:r>
    </w:p>
    <w:p w14:paraId="2B70D7D3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2、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与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街道、社区、物业、居民代表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加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强沟通，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取得谅解，尽量减少施工对周边居民的影响。</w:t>
      </w:r>
    </w:p>
    <w:p w14:paraId="3BDFAFA1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</w:p>
    <w:p w14:paraId="69365846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附表：江苏省政府专项债券项目资金绩效年度自评价情况表</w:t>
      </w: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D2F6A"/>
    <w:multiLevelType w:val="singleLevel"/>
    <w:tmpl w:val="A88D2F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9C97F8D"/>
    <w:multiLevelType w:val="singleLevel"/>
    <w:tmpl w:val="B9C97F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kNzI1NzBiODNjYzA2NTMyYWY1ZGU1NWVkOTkxYjAifQ=="/>
  </w:docVars>
  <w:rsids>
    <w:rsidRoot w:val="006A0286"/>
    <w:rsid w:val="0000186F"/>
    <w:rsid w:val="00027842"/>
    <w:rsid w:val="00040FBC"/>
    <w:rsid w:val="000C41BF"/>
    <w:rsid w:val="000C72EE"/>
    <w:rsid w:val="000F0010"/>
    <w:rsid w:val="00100247"/>
    <w:rsid w:val="001076FD"/>
    <w:rsid w:val="00112A3C"/>
    <w:rsid w:val="0012335B"/>
    <w:rsid w:val="00137AD9"/>
    <w:rsid w:val="00143F9D"/>
    <w:rsid w:val="001D43CE"/>
    <w:rsid w:val="001E1F08"/>
    <w:rsid w:val="001F5652"/>
    <w:rsid w:val="002034C4"/>
    <w:rsid w:val="00212A70"/>
    <w:rsid w:val="00223670"/>
    <w:rsid w:val="0023553D"/>
    <w:rsid w:val="00270B62"/>
    <w:rsid w:val="00296DFA"/>
    <w:rsid w:val="002B77F7"/>
    <w:rsid w:val="002F39B9"/>
    <w:rsid w:val="00317F35"/>
    <w:rsid w:val="003D4D43"/>
    <w:rsid w:val="00404A3F"/>
    <w:rsid w:val="00410E34"/>
    <w:rsid w:val="00412A90"/>
    <w:rsid w:val="00427AA3"/>
    <w:rsid w:val="00453872"/>
    <w:rsid w:val="00463C85"/>
    <w:rsid w:val="004801A8"/>
    <w:rsid w:val="00485FCA"/>
    <w:rsid w:val="00491395"/>
    <w:rsid w:val="00496584"/>
    <w:rsid w:val="004B1555"/>
    <w:rsid w:val="004E3E98"/>
    <w:rsid w:val="004F2889"/>
    <w:rsid w:val="004F7183"/>
    <w:rsid w:val="005060F6"/>
    <w:rsid w:val="00541FD2"/>
    <w:rsid w:val="0055497B"/>
    <w:rsid w:val="0058181F"/>
    <w:rsid w:val="005C5968"/>
    <w:rsid w:val="005D094F"/>
    <w:rsid w:val="005D61F8"/>
    <w:rsid w:val="006032DC"/>
    <w:rsid w:val="00606488"/>
    <w:rsid w:val="006777F4"/>
    <w:rsid w:val="0068077A"/>
    <w:rsid w:val="006A0286"/>
    <w:rsid w:val="006E1B7E"/>
    <w:rsid w:val="006F1257"/>
    <w:rsid w:val="006F2AB8"/>
    <w:rsid w:val="00705B52"/>
    <w:rsid w:val="0072674E"/>
    <w:rsid w:val="007416BA"/>
    <w:rsid w:val="0075652D"/>
    <w:rsid w:val="00784065"/>
    <w:rsid w:val="007A08DF"/>
    <w:rsid w:val="007A754E"/>
    <w:rsid w:val="00801659"/>
    <w:rsid w:val="00830C91"/>
    <w:rsid w:val="008753BB"/>
    <w:rsid w:val="008C7208"/>
    <w:rsid w:val="008C735A"/>
    <w:rsid w:val="008D7527"/>
    <w:rsid w:val="008E7CA1"/>
    <w:rsid w:val="008F6FC9"/>
    <w:rsid w:val="00903C27"/>
    <w:rsid w:val="00926E98"/>
    <w:rsid w:val="009469ED"/>
    <w:rsid w:val="0095504B"/>
    <w:rsid w:val="009A6C90"/>
    <w:rsid w:val="009B2D68"/>
    <w:rsid w:val="00A12CB4"/>
    <w:rsid w:val="00A14DE2"/>
    <w:rsid w:val="00A72387"/>
    <w:rsid w:val="00A85ED0"/>
    <w:rsid w:val="00A863A2"/>
    <w:rsid w:val="00AA24DC"/>
    <w:rsid w:val="00AB1EC5"/>
    <w:rsid w:val="00AB4F83"/>
    <w:rsid w:val="00AC69E3"/>
    <w:rsid w:val="00AE4B66"/>
    <w:rsid w:val="00B14C89"/>
    <w:rsid w:val="00B33955"/>
    <w:rsid w:val="00B82530"/>
    <w:rsid w:val="00BB6EC9"/>
    <w:rsid w:val="00BC11AC"/>
    <w:rsid w:val="00BD1F01"/>
    <w:rsid w:val="00BD7A6B"/>
    <w:rsid w:val="00C1164A"/>
    <w:rsid w:val="00C179BA"/>
    <w:rsid w:val="00C4168B"/>
    <w:rsid w:val="00CB64D3"/>
    <w:rsid w:val="00D202B0"/>
    <w:rsid w:val="00D20830"/>
    <w:rsid w:val="00D71C46"/>
    <w:rsid w:val="00D855DD"/>
    <w:rsid w:val="00D85F96"/>
    <w:rsid w:val="00D87D1A"/>
    <w:rsid w:val="00DE067D"/>
    <w:rsid w:val="00DF053C"/>
    <w:rsid w:val="00E04837"/>
    <w:rsid w:val="00E070F9"/>
    <w:rsid w:val="00E1011A"/>
    <w:rsid w:val="00E53328"/>
    <w:rsid w:val="00E65E3F"/>
    <w:rsid w:val="00E70A55"/>
    <w:rsid w:val="00E96755"/>
    <w:rsid w:val="00EB03FD"/>
    <w:rsid w:val="00EB119E"/>
    <w:rsid w:val="00ED06B2"/>
    <w:rsid w:val="00ED2771"/>
    <w:rsid w:val="00ED7E0F"/>
    <w:rsid w:val="00EF65E3"/>
    <w:rsid w:val="00F040CE"/>
    <w:rsid w:val="00F161C4"/>
    <w:rsid w:val="00F30818"/>
    <w:rsid w:val="00F35A70"/>
    <w:rsid w:val="00F4202D"/>
    <w:rsid w:val="00F70FF0"/>
    <w:rsid w:val="00F84171"/>
    <w:rsid w:val="00FA2A37"/>
    <w:rsid w:val="00FB5E7E"/>
    <w:rsid w:val="00FC405A"/>
    <w:rsid w:val="00FC7877"/>
    <w:rsid w:val="0A8078EF"/>
    <w:rsid w:val="0B271492"/>
    <w:rsid w:val="0C0D548E"/>
    <w:rsid w:val="13A91139"/>
    <w:rsid w:val="174C3434"/>
    <w:rsid w:val="1A9C5EC0"/>
    <w:rsid w:val="1BD37048"/>
    <w:rsid w:val="1F8703AA"/>
    <w:rsid w:val="276C5C88"/>
    <w:rsid w:val="28C818B9"/>
    <w:rsid w:val="290C1178"/>
    <w:rsid w:val="32DF24F9"/>
    <w:rsid w:val="331217FF"/>
    <w:rsid w:val="3E2C36FD"/>
    <w:rsid w:val="4284749E"/>
    <w:rsid w:val="4506515E"/>
    <w:rsid w:val="46D83952"/>
    <w:rsid w:val="473A2136"/>
    <w:rsid w:val="498D09C8"/>
    <w:rsid w:val="4AFC4424"/>
    <w:rsid w:val="4E6768E3"/>
    <w:rsid w:val="4EA57E67"/>
    <w:rsid w:val="5071154C"/>
    <w:rsid w:val="554A3E79"/>
    <w:rsid w:val="5C4E1BEB"/>
    <w:rsid w:val="5DA96938"/>
    <w:rsid w:val="5EDB5F93"/>
    <w:rsid w:val="6008725C"/>
    <w:rsid w:val="63CC1360"/>
    <w:rsid w:val="6708549F"/>
    <w:rsid w:val="6B7C455F"/>
    <w:rsid w:val="6F565731"/>
    <w:rsid w:val="70925C1A"/>
    <w:rsid w:val="7939438F"/>
    <w:rsid w:val="7E394A4F"/>
    <w:rsid w:val="7F4F2127"/>
    <w:rsid w:val="7FB1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280" w:firstLineChars="100"/>
    </w:pPr>
    <w:rPr>
      <w:rFonts w:ascii="楷体_GB2312" w:hAnsi="Calibri" w:eastAsia="楷体_GB2312" w:cs="Times New Roman"/>
      <w:sz w:val="28"/>
    </w:rPr>
  </w:style>
  <w:style w:type="paragraph" w:styleId="5">
    <w:name w:val="annotation text"/>
    <w:basedOn w:val="1"/>
    <w:autoRedefine/>
    <w:semiHidden/>
    <w:unhideWhenUsed/>
    <w:qFormat/>
    <w:uiPriority w:val="99"/>
  </w:style>
  <w:style w:type="paragraph" w:styleId="6">
    <w:name w:val="Body Text"/>
    <w:basedOn w:val="1"/>
    <w:autoRedefine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7">
    <w:name w:val="Balloon Text"/>
    <w:basedOn w:val="1"/>
    <w:link w:val="21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annotation reference"/>
    <w:basedOn w:val="13"/>
    <w:autoRedefine/>
    <w:semiHidden/>
    <w:unhideWhenUsed/>
    <w:qFormat/>
    <w:uiPriority w:val="99"/>
    <w:rPr>
      <w:sz w:val="21"/>
      <w:szCs w:val="21"/>
    </w:rPr>
  </w:style>
  <w:style w:type="table" w:customStyle="1" w:styleId="15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List Paragraph"/>
    <w:basedOn w:val="1"/>
    <w:autoRedefine/>
    <w:qFormat/>
    <w:uiPriority w:val="1"/>
  </w:style>
  <w:style w:type="paragraph" w:customStyle="1" w:styleId="17">
    <w:name w:val="Table Paragraph"/>
    <w:basedOn w:val="1"/>
    <w:autoRedefine/>
    <w:qFormat/>
    <w:uiPriority w:val="1"/>
  </w:style>
  <w:style w:type="paragraph" w:customStyle="1" w:styleId="1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9">
    <w:name w:val="页眉 字符"/>
    <w:basedOn w:val="13"/>
    <w:link w:val="9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13"/>
    <w:link w:val="8"/>
    <w:autoRedefine/>
    <w:qFormat/>
    <w:uiPriority w:val="99"/>
    <w:rPr>
      <w:sz w:val="18"/>
      <w:szCs w:val="18"/>
    </w:rPr>
  </w:style>
  <w:style w:type="character" w:customStyle="1" w:styleId="21">
    <w:name w:val="批注框文本 字符"/>
    <w:basedOn w:val="13"/>
    <w:link w:val="7"/>
    <w:autoRedefine/>
    <w:semiHidden/>
    <w:qFormat/>
    <w:uiPriority w:val="99"/>
    <w:rPr>
      <w:sz w:val="18"/>
      <w:szCs w:val="18"/>
      <w:lang w:eastAsia="en-US"/>
    </w:rPr>
  </w:style>
  <w:style w:type="paragraph" w:customStyle="1" w:styleId="22">
    <w:name w:val="文本条款 Char Char"/>
    <w:basedOn w:val="1"/>
    <w:next w:val="4"/>
    <w:autoRedefine/>
    <w:qFormat/>
    <w:uiPriority w:val="0"/>
    <w:pPr>
      <w:spacing w:line="360" w:lineRule="auto"/>
      <w:ind w:firstLine="420"/>
    </w:pPr>
    <w:rPr>
      <w:rFonts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2347</Words>
  <Characters>2552</Characters>
  <Lines>17</Lines>
  <Paragraphs>4</Paragraphs>
  <TotalTime>3</TotalTime>
  <ScaleCrop>false</ScaleCrop>
  <LinksUpToDate>false</LinksUpToDate>
  <CharactersWithSpaces>2555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2024-04-12T04:19:00Z</dcterms:created>
  <dc:creator>张肖军(拟稿)</dc:creator>
  <cp:lastModifiedBy>pekki</cp:lastModifiedBy>
  <cp:lastPrinted>2024-04-11T02:06:00Z</cp:lastPrinted>
  <dcterms:modified xsi:type="dcterms:W3CDTF">2025-06-16T01:32:06Z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8F16B4A1CD7F4B3AA3212859D72FACA6_13</vt:lpwstr>
  </property>
  <property fmtid="{D5CDD505-2E9C-101B-9397-08002B2CF9AE}" pid="4" name="KSOTemplateDocerSaveRecord">
    <vt:lpwstr>eyJoZGlkIjoiZGM2OWRjNzZmMWFhNzZkNTMxNmMxMDVlZDExYmQyYWYiLCJ1c2VySWQiOiIxMTMwMzE0MjI5In0=</vt:lpwstr>
  </property>
</Properties>
</file>