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04CB9A">
      <w:pPr>
        <w:widowControl/>
        <w:rPr>
          <w:rFonts w:hint="eastAsia" w:ascii="黑体" w:hAnsi="黑体" w:eastAsia="黑体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附件3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val="en-US" w:eastAsia="zh-CN"/>
        </w:rPr>
        <w:t xml:space="preserve"> </w:t>
      </w:r>
    </w:p>
    <w:p w14:paraId="758BA3F9">
      <w:pPr>
        <w:widowControl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江苏省政府专项债券项目绩效自评价报告</w:t>
      </w:r>
    </w:p>
    <w:p w14:paraId="1CA2D530">
      <w:pPr>
        <w:widowControl/>
        <w:jc w:val="center"/>
        <w:rPr>
          <w:rFonts w:hint="eastAsia" w:ascii="方正楷体_GBK" w:hAnsi="方正楷体_GBK" w:eastAsia="方正楷体_GBK" w:cs="方正楷体_GBK"/>
          <w:sz w:val="28"/>
          <w:szCs w:val="28"/>
          <w:lang w:eastAsia="zh-CN"/>
        </w:rPr>
      </w:pPr>
      <w:r>
        <w:rPr>
          <w:rFonts w:hint="eastAsia" w:ascii="方正楷体_GBK" w:hAnsi="方正楷体_GBK" w:eastAsia="方正楷体_GBK" w:cs="方正楷体_GBK"/>
          <w:sz w:val="28"/>
          <w:szCs w:val="28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sz w:val="28"/>
          <w:szCs w:val="28"/>
        </w:rPr>
        <w:t>钟山风景区市政污水管网（霹雳沟段、下马坊段、邵家山段）专项排查整治工程</w:t>
      </w:r>
      <w:r>
        <w:rPr>
          <w:rFonts w:hint="eastAsia" w:ascii="方正楷体_GBK" w:hAnsi="方正楷体_GBK" w:eastAsia="方正楷体_GBK" w:cs="方正楷体_GBK"/>
          <w:sz w:val="28"/>
          <w:szCs w:val="28"/>
          <w:lang w:eastAsia="zh-CN"/>
        </w:rPr>
        <w:t>）</w:t>
      </w:r>
    </w:p>
    <w:p w14:paraId="607E893F">
      <w:pPr>
        <w:widowControl/>
        <w:spacing w:line="560" w:lineRule="exact"/>
        <w:ind w:firstLine="600" w:firstLineChars="200"/>
        <w:jc w:val="left"/>
        <w:rPr>
          <w:rFonts w:hint="eastAsia" w:ascii="方正黑体_GBK" w:hAnsi="方正黑体_GBK" w:eastAsia="方正黑体_GBK" w:cs="方正黑体_GBK"/>
          <w:kern w:val="0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0"/>
          <w:szCs w:val="30"/>
        </w:rPr>
        <w:t>一、项目概况</w:t>
      </w:r>
    </w:p>
    <w:p w14:paraId="5328A19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  <w:t>（一）项目基本情况</w:t>
      </w:r>
    </w:p>
    <w:p w14:paraId="2E1F0FC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  <w:t>1、项目背景</w:t>
      </w:r>
    </w:p>
    <w:p w14:paraId="1696529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  <w:t>根据《南京市城镇污水处理提质增效精准攻坚"333"行动方案》的要求，同时为了做好中央环保督察问题整改，计划对钟山风景区片区污水管网进行整改。钟山风景区市政污水管网（霹雳沟段、下马坊段、邵家山段）专项排查整治工程位于南京市玄武区，片区水系主要为卫桥沟、友谊河西支、孝陵卫东、西沟。</w:t>
      </w:r>
    </w:p>
    <w:p w14:paraId="442C41C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  <w:t>钟山风景区市政污水管网属于城东污水系统，为位于紫金山山林内，是城东污水系统起头管道。根据排查检测报告及现场调查结果，部分采用塑料管，存在错口、起伏、渗漏等缺陷问题，雨季存在污水外溢问题，对景区河道水质产生一定影响，同时河道外水入渗，增加污水处理系统运行负担，对污水厂运行带来不利影响。</w:t>
      </w:r>
    </w:p>
    <w:p w14:paraId="2437C9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  <w:t>本次钟山风景区市政污水管网（霹雳沟段、下马坊段、邵家山段）专项排查整治工程解决片区缺陷污水管网问题，修复重建缺陷污水管道。本工程响应《江苏省城镇污水处理提质增效精准攻坚"333"行动方案》及《南京市城镇污水处理提质增效精准攻坚"333"行动方案》提出改善城市水环境质量，加快补齐城镇污水收集和处理设施短板，提升城镇污水收集处理效能，要求攻坚旱天雨水直排、雨天合流制溢流等难点问题，突出污水源头收集和污染源头管控，着力提高污水处理厂进水浓度，降低污水系统管网运行水位，全面推动污水处理提质增效，实现“污水不入河、外水不进管、进水高浓度、减排高效能”的要求，并可提高污水厂进水浓度，减排高效能。根据前期排查污水管网CCTV检测成果，掌握管网的基本情况和运行状况，及时发现错接漏接、雨污混流及管道缺陷问题并提出相应整改方案，保障污水收集系统的正常运行，因此实施本项目是必要的。</w:t>
      </w:r>
    </w:p>
    <w:p w14:paraId="0177E6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  <w:t>本工程符合《南京市主城污水主次干管专项规划（2018—2035）》中相关要求。由于管道为现状管线整改，基本为原管位修复，不涉及征地拆迁，满足文保、水利、生态保护的要求。</w:t>
      </w:r>
    </w:p>
    <w:p w14:paraId="316420F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  <w:t>2、主要内容：</w:t>
      </w:r>
    </w:p>
    <w:p w14:paraId="169220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  <w:t>本次实施范围东至邮局东路、南至中山门大街、西至明陵路、北至中山陵。修复缺陷管网约11.8千米。改造更换霹雳沟段DN300~DN400球墨铸铁管约3.2千米，过梅花谷路微型顶管更换DN400球墨铸铁管约50米，非开挖修复d300~d800污水管约1.2千米；改造更换下马坊段DN300~DN600球墨铸铁管约3.4千米；改造更换邵家山段DN300~DN600球墨铸铁管约3.5千米，非开挖修复、管道清疏d300~d500污水管约0.4千米。</w:t>
      </w:r>
    </w:p>
    <w:p w14:paraId="127EF02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  <w:t>（二）项目资金情况</w:t>
      </w:r>
    </w:p>
    <w:p w14:paraId="590328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  <w:t>1、资金投入：本工程总投资为6904.89万元，其中2023年专项债总额2000万元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  <w:t>202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  <w:t>年专项债总额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  <w:lang w:val="en-US" w:eastAsia="zh-CN"/>
        </w:rPr>
        <w:t>16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  <w:t>00万元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  <w:lang w:val="en-US" w:eastAsia="zh-CN"/>
        </w:rPr>
        <w:t>专项债累计总额3600万元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  <w:t>。</w:t>
      </w:r>
    </w:p>
    <w:p w14:paraId="62933D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方正仿宋_GBK" w:hAnsi="方正仿宋_GBK" w:eastAsia="方正仿宋_GBK" w:cs="方正仿宋_GBK"/>
          <w:kern w:val="0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  <w:t>2、资金使用：专项债资金全部实行专账管理、专款专用，严格执行集团公司资金审批办法，按月度资金计划把控项目支出，确保专项债资金能最大限度地发挥其作用，实现巨大的社会效益。</w:t>
      </w:r>
    </w:p>
    <w:p w14:paraId="1F7ADF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方正仿宋_GBK" w:hAnsi="方正仿宋_GBK" w:eastAsia="方正仿宋_GBK" w:cs="方正仿宋_GBK"/>
          <w:kern w:val="0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  <w:t>（三）绩效目标</w:t>
      </w:r>
    </w:p>
    <w:p w14:paraId="5731F62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  <w:t>针对城东污水收集系统中钟山风景区3条道路下管道缺陷整改，结合管网上位规划、周边地块排水需求及实施条件对其进行整改、修复。提高污水管道的通水能力，保障收集系统的安全运行，降低污染水环境的风险。</w:t>
      </w:r>
    </w:p>
    <w:p w14:paraId="09DD764D">
      <w:pPr>
        <w:widowControl/>
        <w:spacing w:line="560" w:lineRule="exact"/>
        <w:ind w:firstLine="600" w:firstLineChars="200"/>
        <w:jc w:val="left"/>
        <w:rPr>
          <w:rFonts w:hint="default" w:ascii="方正黑体_GBK" w:hAnsi="方正黑体_GBK" w:eastAsia="方正黑体_GBK" w:cs="方正黑体_GBK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0"/>
          <w:szCs w:val="30"/>
        </w:rPr>
        <w:t>二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0"/>
          <w:szCs w:val="30"/>
          <w:highlight w:val="none"/>
        </w:rPr>
        <w:t>、评价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0"/>
          <w:szCs w:val="30"/>
          <w:highlight w:val="none"/>
          <w:lang w:val="en-US" w:eastAsia="zh-CN"/>
        </w:rPr>
        <w:t>情况</w:t>
      </w:r>
    </w:p>
    <w:p w14:paraId="339E86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  <w:t>（一）项目特点分析</w:t>
      </w:r>
    </w:p>
    <w:p w14:paraId="71C5E88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  <w:t>城市污水系统管网排查整治工程建设规模大，技术要求高，项目投资大，项目具有公益属性，国民经济效益良好。项目建设后可以提高城东片区污水管道的通水能力，保障收集系统的安全运行，降低污染水环境的风险，是重要的民生项目。</w:t>
      </w:r>
    </w:p>
    <w:p w14:paraId="32EB65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  <w:t>目前项目已开工建设，处于施工阶段，故绩效评价主要集中为过程指标和产出指标，以评价项目资金管理、项目建设进度、安全生产等相关情况。</w:t>
      </w:r>
    </w:p>
    <w:p w14:paraId="133EBC1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  <w:t>（二）评价思路方法</w:t>
      </w:r>
    </w:p>
    <w:p w14:paraId="352CEC1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  <w:t>项目资金管理评价主要依据《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  <w:lang w:val="en-US" w:eastAsia="zh-CN"/>
        </w:rPr>
        <w:t>地方政府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  <w:t>专项债券项目资金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  <w:lang w:val="en-US" w:eastAsia="zh-CN"/>
        </w:rPr>
        <w:t>绩效管理办法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  <w:t>》等对专项债券资金的使用管理要求设置细化指标，进行管理、考核。</w:t>
      </w:r>
    </w:p>
    <w:p w14:paraId="00F237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  <w:t>（三）评价工作情况</w:t>
      </w:r>
    </w:p>
    <w:p w14:paraId="1E938D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  <w:t>对照设置的考核指标和评分依据逐项进行跟踪评价，评判各项</w:t>
      </w:r>
      <w:bookmarkStart w:id="0" w:name="_GoBack"/>
      <w:r>
        <w:rPr>
          <w:rFonts w:hint="eastAsia" w:ascii="方正仿宋_GBK" w:hAnsi="方正仿宋_GBK" w:eastAsia="方正仿宋_GBK" w:cs="方正仿宋_GBK"/>
          <w:color w:val="auto"/>
          <w:kern w:val="0"/>
          <w:sz w:val="30"/>
          <w:szCs w:val="30"/>
          <w:highlight w:val="none"/>
          <w:lang w:val="en-US" w:eastAsia="zh-CN"/>
        </w:rPr>
        <w:t>指标</w:t>
      </w:r>
      <w:bookmarkEnd w:id="0"/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  <w:t>实际完成情况。专项债券的使用确保项目建设顺利进行，项目于2023年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  <w:t>月开工，计划于202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  <w:t>年12月底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  <w:lang w:val="en-US" w:eastAsia="zh-CN"/>
        </w:rPr>
        <w:t>完工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  <w:t>，专项债券的使用将严格按照资金使用的相关管理要求执行，严格资金使用范围，保证专项债资金专款专用。</w:t>
      </w:r>
    </w:p>
    <w:p w14:paraId="54CB572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  <w:t>（四）绩效评价结论</w:t>
      </w:r>
    </w:p>
    <w:p w14:paraId="2BA704A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  <w:t>根据江苏省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  <w:lang w:val="en-US" w:eastAsia="zh-CN"/>
        </w:rPr>
        <w:t>政府专项债券项目绩效评价指标体系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  <w:t>，对钟山风景区市政污水管网（霹雳沟段、下马坊段、邵家山段）专项排查整治工程专项债券资金从过程、产出、效益、满意度四个维度进行自评价，资金管理规范，项目进展顺利，目前项目正在建设中，工程实施过程中未发生造成重大社会影响的质量安全事件，综合评分等级为“优”。</w:t>
      </w:r>
    </w:p>
    <w:p w14:paraId="463C2CEA">
      <w:pPr>
        <w:widowControl/>
        <w:spacing w:line="560" w:lineRule="exact"/>
        <w:ind w:firstLine="600" w:firstLineChars="200"/>
        <w:jc w:val="left"/>
        <w:rPr>
          <w:rFonts w:hint="eastAsia" w:ascii="方正黑体_GBK" w:hAnsi="方正黑体_GBK" w:eastAsia="方正黑体_GBK" w:cs="方正黑体_GBK"/>
          <w:color w:val="000000"/>
          <w:kern w:val="0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0"/>
          <w:szCs w:val="30"/>
        </w:rPr>
        <w:t>三、项目绩效</w:t>
      </w:r>
    </w:p>
    <w:p w14:paraId="4938885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  <w:t>专项债券主要用于项目建设阶段工程费用的使用，目前工程项目处于建设施工阶段，预计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  <w:lang w:val="en-US" w:eastAsia="zh-CN"/>
        </w:rPr>
        <w:t>2025年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</w:rPr>
        <w:t>12月完成竣工验收。该项目投产运行后，将有效提高城东片区污水管道的通水能力，保障收集系统的安全运行，降低污染水环境的风险。</w:t>
      </w:r>
    </w:p>
    <w:p w14:paraId="754A1504">
      <w:pPr>
        <w:widowControl/>
        <w:spacing w:line="560" w:lineRule="exact"/>
        <w:ind w:firstLine="600" w:firstLineChars="200"/>
        <w:jc w:val="left"/>
        <w:rPr>
          <w:rFonts w:hint="eastAsia" w:ascii="方正黑体_GBK" w:hAnsi="方正黑体_GBK" w:eastAsia="方正黑体_GBK" w:cs="方正黑体_GBK"/>
          <w:color w:val="000000"/>
          <w:kern w:val="0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0"/>
          <w:szCs w:val="30"/>
        </w:rPr>
        <w:t>四、存在问题及原因分析</w:t>
      </w:r>
    </w:p>
    <w:p w14:paraId="606EB8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  <w:highlight w:val="none"/>
          <w:lang w:val="en-US" w:eastAsia="zh-CN"/>
        </w:rPr>
        <w:t>1、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  <w:highlight w:val="none"/>
          <w:lang w:eastAsia="zh-CN"/>
        </w:rPr>
        <w:t>成品保护措施不及时，个别分部分项工程进度延迟。</w:t>
      </w:r>
    </w:p>
    <w:p w14:paraId="303E29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default" w:ascii="方正仿宋_GBK" w:hAnsi="方正仿宋_GBK" w:eastAsia="方正仿宋_GBK" w:cs="方正仿宋_GBK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  <w:lang w:val="en-US" w:eastAsia="zh-CN"/>
        </w:rPr>
        <w:t>2、</w:t>
      </w:r>
      <w:r>
        <w:rPr>
          <w:rFonts w:hint="eastAsia" w:ascii="Times New Roman" w:hAnsi="Times New Roman" w:eastAsia="方正仿宋_GBK" w:cs="Times New Roman"/>
          <w:spacing w:val="-15"/>
          <w:sz w:val="30"/>
          <w:szCs w:val="30"/>
          <w:lang w:eastAsia="zh-CN"/>
        </w:rPr>
        <w:t>因施工区域位于</w:t>
      </w:r>
      <w:r>
        <w:rPr>
          <w:rFonts w:hint="eastAsia" w:ascii="Times New Roman" w:hAnsi="Times New Roman" w:eastAsia="方正仿宋_GBK" w:cs="Times New Roman"/>
          <w:spacing w:val="-15"/>
          <w:sz w:val="30"/>
          <w:szCs w:val="30"/>
          <w:lang w:val="en-US" w:eastAsia="zh-CN"/>
        </w:rPr>
        <w:t>景区</w:t>
      </w:r>
      <w:r>
        <w:rPr>
          <w:rFonts w:hint="eastAsia" w:ascii="Times New Roman" w:hAnsi="Times New Roman" w:eastAsia="方正仿宋_GBK" w:cs="Times New Roman"/>
          <w:spacing w:val="-15"/>
          <w:sz w:val="30"/>
          <w:szCs w:val="30"/>
          <w:lang w:eastAsia="zh-CN"/>
        </w:rPr>
        <w:t>，施工过程中存在投诉情况。</w:t>
      </w:r>
    </w:p>
    <w:p w14:paraId="2E4797B0">
      <w:pPr>
        <w:widowControl/>
        <w:spacing w:line="560" w:lineRule="exact"/>
        <w:ind w:firstLine="600" w:firstLineChars="200"/>
        <w:jc w:val="left"/>
        <w:rPr>
          <w:rFonts w:hint="eastAsia" w:ascii="方正黑体_GBK" w:hAnsi="方正黑体_GBK" w:eastAsia="方正黑体_GBK" w:cs="方正黑体_GBK"/>
          <w:color w:val="000000"/>
          <w:kern w:val="0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0"/>
          <w:szCs w:val="30"/>
        </w:rPr>
        <w:t>五、有关建议</w:t>
      </w:r>
    </w:p>
    <w:p w14:paraId="2737B8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  <w:lang w:val="en-US" w:eastAsia="zh-CN"/>
        </w:rPr>
        <w:t>1、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  <w:lang w:eastAsia="zh-CN"/>
        </w:rPr>
        <w:t>与各相关部门加强沟通、做好配合，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  <w:lang w:val="en-US" w:eastAsia="zh-CN"/>
        </w:rPr>
        <w:t>做好完工后的成品保护，调集资源、加强管理，消除工期延滞不利影响。</w:t>
      </w:r>
    </w:p>
    <w:p w14:paraId="1006BB9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default" w:ascii="方正仿宋_GBK" w:hAnsi="方正仿宋_GBK" w:eastAsia="方正仿宋_GBK" w:cs="方正仿宋_GBK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  <w:lang w:val="en-US" w:eastAsia="zh-CN"/>
        </w:rPr>
        <w:t>2、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与各相关部门加强沟通、做好配合，抓紧推进工程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建设，同步加强文明施工措施。</w:t>
      </w:r>
    </w:p>
    <w:p w14:paraId="43545000">
      <w:pPr>
        <w:spacing w:line="560" w:lineRule="exact"/>
        <w:rPr>
          <w:rFonts w:eastAsia="仿宋"/>
          <w:color w:val="000000"/>
          <w:kern w:val="0"/>
          <w:sz w:val="32"/>
          <w:szCs w:val="32"/>
        </w:rPr>
      </w:pPr>
    </w:p>
    <w:p w14:paraId="2F9981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  <w:lang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  <w:lang w:eastAsia="zh-CN"/>
        </w:rPr>
        <w:t>附表：江苏省政府专项债券项目资金绩效年度自评价情况表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28BCB587-08AB-42D2-B87A-9B38E6D2E369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EC70FBD9-EFC0-44E7-BCC1-2EE96B7FB0B8}"/>
  </w:font>
  <w:font w:name="方正楷体_GBK">
    <w:panose1 w:val="02000000000000000000"/>
    <w:charset w:val="86"/>
    <w:family w:val="auto"/>
    <w:pitch w:val="default"/>
    <w:sig w:usb0="800002BF" w:usb1="38CF7CFA" w:usb2="00000016" w:usb3="00000000" w:csb0="00040000" w:csb1="00000000"/>
    <w:embedRegular r:id="rId3" w:fontKey="{871E8521-9149-44C8-9390-868471236369}"/>
  </w:font>
  <w:font w:name="方正黑体_GBK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4" w:fontKey="{4E48BEF6-B5D2-46C1-8337-8D8FDE986C79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62B78D5E-A116-40A0-A7ED-8C0A700D5F1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D835C42B-56A2-4DF7-97E1-DF17F85DE69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lMDI3MmI2ZTg1ZDBjMTQxYjA1M2JmNTE1Y2MxODAifQ=="/>
  </w:docVars>
  <w:rsids>
    <w:rsidRoot w:val="003B2939"/>
    <w:rsid w:val="00154B0F"/>
    <w:rsid w:val="003963A2"/>
    <w:rsid w:val="003B2939"/>
    <w:rsid w:val="0051695F"/>
    <w:rsid w:val="00575C51"/>
    <w:rsid w:val="00590224"/>
    <w:rsid w:val="00613F65"/>
    <w:rsid w:val="007A3E27"/>
    <w:rsid w:val="008F6B8E"/>
    <w:rsid w:val="00903FE7"/>
    <w:rsid w:val="009109BA"/>
    <w:rsid w:val="00AE6ACE"/>
    <w:rsid w:val="00D42B0B"/>
    <w:rsid w:val="00EC3C1D"/>
    <w:rsid w:val="057C5A65"/>
    <w:rsid w:val="0A9835EF"/>
    <w:rsid w:val="10BF4FCE"/>
    <w:rsid w:val="121E7358"/>
    <w:rsid w:val="16324781"/>
    <w:rsid w:val="1BE5119A"/>
    <w:rsid w:val="2B7C77D9"/>
    <w:rsid w:val="2E78204D"/>
    <w:rsid w:val="322D73F8"/>
    <w:rsid w:val="373509A4"/>
    <w:rsid w:val="43363263"/>
    <w:rsid w:val="4AC44C42"/>
    <w:rsid w:val="4E460A5F"/>
    <w:rsid w:val="57213D17"/>
    <w:rsid w:val="5A2F5DF9"/>
    <w:rsid w:val="60B22A7F"/>
    <w:rsid w:val="63CB4168"/>
    <w:rsid w:val="665252DD"/>
    <w:rsid w:val="7BCC4AD2"/>
    <w:rsid w:val="7C06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2048</Words>
  <Characters>2165</Characters>
  <Lines>15</Lines>
  <Paragraphs>4</Paragraphs>
  <TotalTime>23</TotalTime>
  <ScaleCrop>false</ScaleCrop>
  <LinksUpToDate>false</LinksUpToDate>
  <CharactersWithSpaces>2166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2022-05-04T02:20:00Z</dcterms:created>
  <dc:creator>acer</dc:creator>
  <cp:lastModifiedBy>zyf</cp:lastModifiedBy>
  <dcterms:modified xsi:type="dcterms:W3CDTF">2025-06-05T01:56:59Z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C8E16E490A1D4CB5A7FD01B1F6F82A28_13</vt:lpwstr>
  </property>
  <property fmtid="{D5CDD505-2E9C-101B-9397-08002B2CF9AE}" pid="4" name="KSOTemplateDocerSaveRecord">
    <vt:lpwstr>eyJoZGlkIjoiOTBkNzI1NzBiODNjYzA2NTMyYWY1ZGU1NWVkOTkxYjAiLCJ1c2VySWQiOiI2OTk2MjA1NTYifQ==</vt:lpwstr>
  </property>
</Properties>
</file>