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eastAsia="方正小标宋简体"/>
          <w:sz w:val="36"/>
          <w:szCs w:val="36"/>
        </w:rPr>
      </w:pPr>
      <w:bookmarkStart w:id="0" w:name="_GoBack"/>
      <w:bookmarkEnd w:id="0"/>
    </w:p>
    <w:p>
      <w:pPr>
        <w:widowControl/>
        <w:jc w:val="center"/>
        <w:rPr>
          <w:rFonts w:eastAsia="方正小标宋简体"/>
          <w:sz w:val="36"/>
          <w:szCs w:val="36"/>
        </w:rPr>
      </w:pPr>
      <w:r>
        <w:rPr>
          <w:rFonts w:eastAsia="方正小标宋简体"/>
          <w:sz w:val="36"/>
          <w:szCs w:val="36"/>
        </w:rPr>
        <w:t>202</w:t>
      </w:r>
      <w:r>
        <w:rPr>
          <w:rFonts w:hint="eastAsia" w:eastAsia="方正小标宋简体"/>
          <w:sz w:val="36"/>
          <w:szCs w:val="36"/>
          <w:lang w:val="en-US" w:eastAsia="zh-CN"/>
        </w:rPr>
        <w:t>2</w:t>
      </w:r>
      <w:r>
        <w:rPr>
          <w:rFonts w:eastAsia="方正小标宋简体"/>
          <w:sz w:val="36"/>
          <w:szCs w:val="36"/>
        </w:rPr>
        <w:t>年度市管水利工程</w:t>
      </w:r>
      <w:r>
        <w:rPr>
          <w:rFonts w:hint="eastAsia" w:eastAsia="方正小标宋简体"/>
          <w:sz w:val="36"/>
          <w:szCs w:val="36"/>
        </w:rPr>
        <w:t>维修</w:t>
      </w:r>
      <w:r>
        <w:rPr>
          <w:rFonts w:eastAsia="方正小标宋简体"/>
          <w:sz w:val="36"/>
          <w:szCs w:val="36"/>
        </w:rPr>
        <w:t>专项资金（重点项目）</w:t>
      </w:r>
    </w:p>
    <w:p>
      <w:pPr>
        <w:widowControl/>
        <w:jc w:val="center"/>
        <w:rPr>
          <w:rFonts w:eastAsia="方正小标宋简体"/>
          <w:sz w:val="36"/>
          <w:szCs w:val="36"/>
        </w:rPr>
      </w:pPr>
      <w:r>
        <w:rPr>
          <w:rFonts w:eastAsia="方正小标宋简体"/>
          <w:sz w:val="36"/>
          <w:szCs w:val="36"/>
        </w:rPr>
        <w:t>绩效自评价报告</w:t>
      </w:r>
    </w:p>
    <w:p>
      <w:pPr>
        <w:widowControl/>
        <w:spacing w:line="560" w:lineRule="exact"/>
        <w:ind w:firstLine="643" w:firstLineChars="200"/>
        <w:jc w:val="left"/>
        <w:rPr>
          <w:rFonts w:eastAsia="仿宋"/>
          <w:b/>
          <w:bCs/>
          <w:color w:val="000000"/>
          <w:kern w:val="0"/>
          <w:sz w:val="32"/>
          <w:szCs w:val="32"/>
        </w:rPr>
      </w:pPr>
    </w:p>
    <w:p>
      <w:pPr>
        <w:widowControl/>
        <w:spacing w:line="560" w:lineRule="exact"/>
        <w:ind w:firstLine="640" w:firstLineChars="200"/>
        <w:jc w:val="left"/>
        <w:rPr>
          <w:rFonts w:eastAsia="黑体"/>
          <w:kern w:val="0"/>
          <w:sz w:val="24"/>
        </w:rPr>
      </w:pPr>
      <w:r>
        <w:rPr>
          <w:rFonts w:eastAsia="黑体"/>
          <w:color w:val="000000"/>
          <w:kern w:val="0"/>
          <w:sz w:val="32"/>
          <w:szCs w:val="32"/>
        </w:rPr>
        <w:t>一、项目概况</w:t>
      </w:r>
    </w:p>
    <w:p>
      <w:pPr>
        <w:widowControl/>
        <w:spacing w:line="560" w:lineRule="exact"/>
        <w:ind w:firstLine="640" w:firstLineChars="200"/>
        <w:jc w:val="left"/>
        <w:rPr>
          <w:rFonts w:eastAsia="仿宋_GB2312"/>
          <w:sz w:val="32"/>
          <w:szCs w:val="32"/>
        </w:rPr>
      </w:pPr>
      <w:r>
        <w:rPr>
          <w:rFonts w:eastAsia="仿宋_GB2312"/>
          <w:sz w:val="32"/>
          <w:szCs w:val="32"/>
        </w:rPr>
        <w:t>（一）项目基本情况</w:t>
      </w:r>
    </w:p>
    <w:p>
      <w:pPr>
        <w:widowControl/>
        <w:spacing w:line="560" w:lineRule="exact"/>
        <w:ind w:firstLine="640" w:firstLineChars="200"/>
        <w:rPr>
          <w:rFonts w:eastAsia="仿宋_GB2312"/>
          <w:sz w:val="32"/>
          <w:szCs w:val="32"/>
        </w:rPr>
      </w:pPr>
      <w:r>
        <w:rPr>
          <w:rFonts w:eastAsia="仿宋_GB2312"/>
          <w:sz w:val="32"/>
          <w:szCs w:val="32"/>
        </w:rPr>
        <w:t>1. 立项背景</w:t>
      </w:r>
    </w:p>
    <w:p>
      <w:pPr>
        <w:spacing w:line="600" w:lineRule="exact"/>
        <w:ind w:firstLine="640" w:firstLineChars="200"/>
        <w:rPr>
          <w:rFonts w:eastAsia="仿宋_GB2312"/>
          <w:sz w:val="32"/>
          <w:szCs w:val="32"/>
        </w:rPr>
      </w:pPr>
      <w:r>
        <w:rPr>
          <w:rFonts w:eastAsia="仿宋_GB2312"/>
          <w:sz w:val="32"/>
          <w:szCs w:val="32"/>
        </w:rPr>
        <w:t>河道是水资源的载体，是关系人类生存和生活的一种最基本自然资源，强化河湖管理和养护，是践行绿水青山就是金山银山的理念，建立健全河湖管理体制机制，维护河湖健康的重要举措，是促进水资源可持续利用，助力南京市水生态环境持续向好的有力抓手。</w:t>
      </w:r>
    </w:p>
    <w:p>
      <w:pPr>
        <w:spacing w:line="600" w:lineRule="exact"/>
        <w:ind w:firstLine="640" w:firstLineChars="200"/>
        <w:rPr>
          <w:rFonts w:eastAsia="仿宋_GB2312"/>
          <w:sz w:val="32"/>
          <w:szCs w:val="32"/>
        </w:rPr>
      </w:pPr>
      <w:r>
        <w:rPr>
          <w:rFonts w:hint="eastAsia" w:eastAsia="仿宋_GB2312"/>
          <w:sz w:val="32"/>
          <w:szCs w:val="32"/>
        </w:rPr>
        <w:t>为进一步提升河道管理水平，根据水管单位管理要求，针对日常巡查检查中发现的长江、秦淮河、马汊河、三</w:t>
      </w:r>
      <w:r>
        <w:rPr>
          <w:rFonts w:hint="eastAsia" w:eastAsia="仿宋_GB2312"/>
          <w:sz w:val="32"/>
          <w:szCs w:val="32"/>
          <w:lang w:val="en-US" w:eastAsia="zh-CN"/>
        </w:rPr>
        <w:t>汊</w:t>
      </w:r>
      <w:r>
        <w:rPr>
          <w:rFonts w:hint="eastAsia" w:eastAsia="仿宋_GB2312"/>
          <w:sz w:val="32"/>
          <w:szCs w:val="32"/>
        </w:rPr>
        <w:t>河口闸部分</w:t>
      </w:r>
      <w:r>
        <w:rPr>
          <w:rFonts w:eastAsia="仿宋_GB2312"/>
          <w:sz w:val="32"/>
          <w:szCs w:val="32"/>
        </w:rPr>
        <w:t>地段排水系统不完善，水土流失严重；部分护坡坍塌</w:t>
      </w:r>
      <w:r>
        <w:rPr>
          <w:rFonts w:hint="eastAsia" w:eastAsia="仿宋_GB2312"/>
          <w:sz w:val="32"/>
          <w:szCs w:val="32"/>
        </w:rPr>
        <w:t>，植被缺损；防汛物资基地设施陈旧破损；</w:t>
      </w:r>
      <w:r>
        <w:rPr>
          <w:rFonts w:eastAsia="仿宋_GB2312"/>
          <w:sz w:val="32"/>
          <w:szCs w:val="32"/>
        </w:rPr>
        <w:t>河道及管理处院内多处设施老化损毁存在安全隐患</w:t>
      </w:r>
      <w:r>
        <w:rPr>
          <w:rFonts w:hint="eastAsia" w:eastAsia="仿宋_GB2312"/>
          <w:sz w:val="32"/>
          <w:szCs w:val="32"/>
        </w:rPr>
        <w:t>等问题</w:t>
      </w:r>
      <w:r>
        <w:rPr>
          <w:rFonts w:eastAsia="仿宋_GB2312"/>
          <w:sz w:val="32"/>
          <w:szCs w:val="32"/>
        </w:rPr>
        <w:t>，本次市级维修项目的实施是十分必要的。</w:t>
      </w:r>
    </w:p>
    <w:p>
      <w:pPr>
        <w:spacing w:line="600" w:lineRule="exact"/>
        <w:ind w:firstLine="640" w:firstLineChars="200"/>
        <w:rPr>
          <w:rFonts w:eastAsia="仿宋_GB2312"/>
          <w:sz w:val="32"/>
          <w:szCs w:val="32"/>
        </w:rPr>
      </w:pPr>
      <w:r>
        <w:rPr>
          <w:rFonts w:eastAsia="仿宋_GB2312"/>
          <w:sz w:val="32"/>
          <w:szCs w:val="32"/>
        </w:rPr>
        <w:t>2. 立项依据</w:t>
      </w:r>
    </w:p>
    <w:p>
      <w:pPr>
        <w:spacing w:line="600" w:lineRule="exact"/>
        <w:ind w:firstLine="640" w:firstLineChars="200"/>
        <w:rPr>
          <w:rFonts w:eastAsia="仿宋_GB2312"/>
          <w:sz w:val="32"/>
          <w:szCs w:val="32"/>
        </w:rPr>
      </w:pPr>
      <w:r>
        <w:rPr>
          <w:rFonts w:eastAsia="仿宋_GB2312"/>
          <w:sz w:val="32"/>
          <w:szCs w:val="32"/>
        </w:rPr>
        <w:t>《江苏省河道管理条例》明确县级以上地方人民政府应当加强对河道管理工作的领导，建立健全河道管理单位，将河道管理纳入国民经济和社会发展规划，将河道建设、维修养护、管理运行所需经费纳入年度财政预算。</w:t>
      </w:r>
    </w:p>
    <w:p>
      <w:pPr>
        <w:widowControl/>
        <w:spacing w:line="560" w:lineRule="exact"/>
        <w:ind w:firstLine="640" w:firstLineChars="200"/>
        <w:rPr>
          <w:rFonts w:eastAsia="仿宋_GB2312"/>
          <w:sz w:val="32"/>
          <w:szCs w:val="32"/>
        </w:rPr>
      </w:pPr>
      <w:r>
        <w:rPr>
          <w:rFonts w:eastAsia="仿宋_GB2312"/>
          <w:sz w:val="32"/>
          <w:szCs w:val="32"/>
        </w:rPr>
        <w:t>《南京市防洪堤保护管理条例》明确市、区人民政府应当按照统一管理和分级管理相结合的原则加强领导，明确管理责任，依法安排必需的维护管理资金，确保防洪堤的安全。</w:t>
      </w:r>
    </w:p>
    <w:p>
      <w:pPr>
        <w:widowControl/>
        <w:spacing w:line="560" w:lineRule="exact"/>
        <w:ind w:firstLine="640" w:firstLineChars="200"/>
        <w:rPr>
          <w:rFonts w:eastAsia="仿宋_GB2312"/>
          <w:sz w:val="32"/>
          <w:szCs w:val="32"/>
        </w:rPr>
      </w:pPr>
      <w:r>
        <w:rPr>
          <w:rFonts w:eastAsia="仿宋_GB2312"/>
          <w:sz w:val="32"/>
          <w:szCs w:val="32"/>
        </w:rPr>
        <w:t>3. 基本内容</w:t>
      </w:r>
    </w:p>
    <w:p>
      <w:pPr>
        <w:widowControl/>
        <w:spacing w:line="560" w:lineRule="exact"/>
        <w:ind w:firstLine="640" w:firstLineChars="200"/>
        <w:rPr>
          <w:rFonts w:eastAsia="仿宋_GB2312"/>
          <w:sz w:val="32"/>
          <w:szCs w:val="32"/>
        </w:rPr>
      </w:pPr>
      <w:r>
        <w:rPr>
          <w:rFonts w:eastAsia="仿宋_GB2312"/>
          <w:sz w:val="32"/>
          <w:szCs w:val="32"/>
        </w:rPr>
        <w:t>南京市市管</w:t>
      </w:r>
      <w:r>
        <w:rPr>
          <w:rFonts w:hint="eastAsia" w:eastAsia="仿宋_GB2312"/>
          <w:sz w:val="32"/>
          <w:szCs w:val="32"/>
        </w:rPr>
        <w:t>水利工程</w:t>
      </w:r>
      <w:r>
        <w:rPr>
          <w:rFonts w:eastAsia="仿宋_GB2312"/>
          <w:sz w:val="32"/>
          <w:szCs w:val="32"/>
        </w:rPr>
        <w:t>为：长江南京河段、秦淮河东山大桥以下河段、秦淮新河、马汊河</w:t>
      </w:r>
      <w:r>
        <w:rPr>
          <w:rFonts w:hint="eastAsia" w:eastAsia="仿宋_GB2312"/>
          <w:sz w:val="32"/>
          <w:szCs w:val="32"/>
        </w:rPr>
        <w:t>、三汊河河口闸</w:t>
      </w:r>
      <w:r>
        <w:rPr>
          <w:rFonts w:eastAsia="仿宋_GB2312"/>
          <w:sz w:val="32"/>
          <w:szCs w:val="32"/>
        </w:rPr>
        <w:t>。</w:t>
      </w:r>
    </w:p>
    <w:p>
      <w:pPr>
        <w:widowControl/>
        <w:adjustRightInd w:val="0"/>
        <w:snapToGri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（一）市长江河道管理处市级水利工程维修项目</w:t>
      </w:r>
    </w:p>
    <w:p>
      <w:pPr>
        <w:widowControl/>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六合区长江堤防（桩号K72+750~K72+900、K75+850~K76+400）部分堤顶沥青道路面层拆除重建，长410米，宽6米。浦口区长江堤防（桩号K7+200 ~K9+400）堤防背水侧路肩沿线设1700米波形护栏，上堤道路路口设3处限高杆；桩号K20+000~K22+900段共计19处鼓包，沿路面隆起处两侧各向外延伸3米拆除重建沥青道路，迎水坡格埂及路缘石共40米拆除重建，迎、背水侧路肩沿线设波形护栏，分别长2900米和690米，迎水侧路肩补植约1950米灌木，与滨江大道连接路口设2处限高杆。江宁区长江堤防（桩号K0+000~ K4+488）更换约3590米背水坡隔离护栏，换植约2490米背水坡草皮，同时背水坡灌木清杂。</w:t>
      </w:r>
    </w:p>
    <w:p>
      <w:pPr>
        <w:widowControl/>
        <w:adjustRightInd w:val="0"/>
        <w:snapToGri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（二）市秦淮河河道管理处市级水利工程维修项目</w:t>
      </w:r>
    </w:p>
    <w:p>
      <w:pPr>
        <w:widowControl/>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对秦淮新河左岸西善桥至宁马高速桥段（K10+970~K11+800）堤顶道路、迎背水坡坡面及附属设施进行维修，总长约820米。</w:t>
      </w:r>
    </w:p>
    <w:p>
      <w:pPr>
        <w:widowControl/>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实施道路维修工程，对K10+990~K11+010段现状水泥路加铺沥青混凝土面层，K11+010~K11+753段沥青混凝土面层拆除重铺，临西善桥段道路背水侧增设路缘石约48米，迎水侧增设蝶型边沟约173米，维修K11+062~K11+487段沥青道路裂缝。</w:t>
      </w:r>
    </w:p>
    <w:p>
      <w:pPr>
        <w:widowControl/>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实施坡面整治工程，拆除K10+970~K11+250段迎水坡砼护坡并整坡，迎水坡坡面绿化；K10+990~K11+800段背水坡场地平整复绿；K11+000附近和K11+585附近共2处移栽部分苗木；807涵洞迎水侧增设绿篱长约40米，宽0.8米；人行步道背水侧增设绿篱长约205米，宽1.5米。</w:t>
      </w:r>
    </w:p>
    <w:p>
      <w:pPr>
        <w:widowControl/>
        <w:adjustRightInd w:val="0"/>
        <w:snapToGri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sz w:val="32"/>
          <w:szCs w:val="32"/>
        </w:rPr>
        <w:t>3、实施附属设施改造，拆除堤顶长约134米现状挡墙及5个花坛，整治K11+360~K11+495段防汛堆石并对临路侧粉面，K10+970~K11+300段围墙临路侧粉面。K11+515~工程终点段紧贴现状围墙、铁栅栏新建砖砌围墙，墙高约2.4米，临路侧粉面。防腐处理管道1处，拆除废弃杆线4处。拆建K11+010~K11+200段现状砖砌人行道为彩色透水沥青道路，并延长至工程起点，净宽2.0米。K11+240~K11+445段新增植草沟长度200米。增设管理设施，包括里程桩3根、百米桩32根、蓝线桩26根、限高杆2处、标志标牌30块等</w:t>
      </w:r>
      <w:r>
        <w:rPr>
          <w:rFonts w:hint="eastAsia" w:ascii="Times New Roman" w:hAnsi="Times New Roman" w:eastAsia="仿宋_GB2312" w:cs="Times New Roman"/>
          <w:sz w:val="32"/>
          <w:szCs w:val="32"/>
        </w:rPr>
        <w:t>。</w:t>
      </w:r>
    </w:p>
    <w:p>
      <w:pPr>
        <w:widowControl/>
        <w:adjustRightInd w:val="0"/>
        <w:snapToGri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（三）市滁河河道管理处马汊河市级维修工程</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马汊河左岸背水坡局部整治：上游圩湾段（桩号K2+040~K2+760）新建巡查便道，坡面新建下坡步阶3处；中游扬子3#截油池段（桩号K9+800、K10+000）、沿河上坡路段（桩号K10+762）、湛水路桥上游（桩号K11+570~K11+740）等处高程13.5米以上坡面修复，下游左岸（桩号K11+800~K13+100）背水坡坡面修复、植物防护等。湛水路桥上游段新建2条人行步阶，新建1条步道；下游左岸入江口段铺设水泥地坪，砖路面更新等。</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2、沿河支流涵闸入河口段整治：团结河、妯娌河、排葛河、葛塘河、嘉华排水口等共计9处入马汊河河口维修，包含坡面清理、植物防护、混凝土坡面修整、混凝土地坪浇筑等。其中葛塘河河口埋设1米直径暗管与路面排水沟相接，暗管长约50米。 </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河道管理设施完善：马汊河纪念碑广场地砖更新，广场围墙出新；沿河增设护栏1500米，U形防撞栏1000米，管理范围桩60个；标志标牌更新10块、新建10块；宁六桥下联锁块护坡更换；宁六桥至雍六桥间局部迎水坡护坡修复等。</w:t>
      </w:r>
    </w:p>
    <w:p>
      <w:pPr>
        <w:widowControl/>
        <w:adjustRightInd w:val="0"/>
        <w:snapToGri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（四）市三汊河河口闸管理处市级水利工程维修项目</w:t>
      </w:r>
    </w:p>
    <w:p>
      <w:pPr>
        <w:widowControl/>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更换河口闸工程配电房现有环网柜2台；更换河口闸工程配电房及柴油发电机房内现有变压器1台及低压配电设备（低压配电柜4台、双电源切换柜1台、发电机进线柜1台、展示馆动力柜1台、电容补偿柜1台）</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在配电房内增设电力监控系统及工业显示大屏1台</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在河口闸管理处院内停车棚处增设电动汽车充电桩3套；更换河口闸大闸门内的液压小门油缸2个。</w:t>
      </w:r>
    </w:p>
    <w:p>
      <w:pPr>
        <w:widowControl/>
        <w:spacing w:line="560" w:lineRule="exact"/>
        <w:ind w:firstLine="640" w:firstLineChars="200"/>
        <w:rPr>
          <w:rFonts w:eastAsia="仿宋_GB2312"/>
          <w:sz w:val="32"/>
          <w:szCs w:val="32"/>
        </w:rPr>
      </w:pPr>
      <w:r>
        <w:rPr>
          <w:rFonts w:eastAsia="仿宋_GB2312"/>
          <w:sz w:val="32"/>
          <w:szCs w:val="32"/>
        </w:rPr>
        <w:t>（二）项目资金情况</w:t>
      </w:r>
    </w:p>
    <w:p>
      <w:pPr>
        <w:widowControl/>
        <w:spacing w:line="560" w:lineRule="exact"/>
        <w:ind w:firstLine="640" w:firstLineChars="200"/>
        <w:rPr>
          <w:rFonts w:eastAsia="仿宋_GB2312"/>
          <w:sz w:val="32"/>
          <w:szCs w:val="32"/>
        </w:rPr>
      </w:pPr>
      <w:r>
        <w:rPr>
          <w:rFonts w:eastAsia="仿宋_GB2312"/>
          <w:sz w:val="32"/>
          <w:szCs w:val="32"/>
        </w:rPr>
        <w:t>202</w:t>
      </w:r>
      <w:r>
        <w:rPr>
          <w:rFonts w:hint="eastAsia" w:eastAsia="仿宋_GB2312"/>
          <w:sz w:val="32"/>
          <w:szCs w:val="32"/>
          <w:lang w:val="en-US" w:eastAsia="zh-CN"/>
        </w:rPr>
        <w:t>2</w:t>
      </w:r>
      <w:r>
        <w:rPr>
          <w:rFonts w:eastAsia="仿宋_GB2312"/>
          <w:sz w:val="32"/>
          <w:szCs w:val="32"/>
        </w:rPr>
        <w:t>年度南京市市管水利工程</w:t>
      </w:r>
      <w:r>
        <w:rPr>
          <w:rFonts w:hint="eastAsia" w:eastAsia="仿宋_GB2312"/>
          <w:sz w:val="32"/>
          <w:szCs w:val="32"/>
        </w:rPr>
        <w:t>维修</w:t>
      </w:r>
      <w:r>
        <w:rPr>
          <w:rFonts w:eastAsia="仿宋_GB2312"/>
          <w:sz w:val="32"/>
          <w:szCs w:val="32"/>
        </w:rPr>
        <w:t>市级财政资金</w:t>
      </w:r>
      <w:r>
        <w:rPr>
          <w:rFonts w:hint="eastAsia" w:eastAsia="仿宋_GB2312"/>
          <w:sz w:val="32"/>
          <w:szCs w:val="32"/>
          <w:lang w:val="en-US" w:eastAsia="zh-CN"/>
        </w:rPr>
        <w:t>1379</w:t>
      </w:r>
      <w:r>
        <w:rPr>
          <w:rFonts w:eastAsia="仿宋_GB2312"/>
          <w:sz w:val="32"/>
          <w:szCs w:val="32"/>
        </w:rPr>
        <w:t>万元</w:t>
      </w:r>
      <w:r>
        <w:rPr>
          <w:rFonts w:hint="eastAsia" w:eastAsia="仿宋_GB2312"/>
          <w:sz w:val="32"/>
          <w:szCs w:val="32"/>
        </w:rPr>
        <w:t>。</w:t>
      </w:r>
    </w:p>
    <w:p>
      <w:pPr>
        <w:widowControl/>
        <w:spacing w:line="560" w:lineRule="exact"/>
        <w:rPr>
          <w:rFonts w:eastAsia="仿宋_GB2312"/>
          <w:sz w:val="32"/>
          <w:szCs w:val="32"/>
        </w:rPr>
        <w:sectPr>
          <w:pgSz w:w="11906" w:h="16838"/>
          <w:pgMar w:top="1440" w:right="1800" w:bottom="1440" w:left="1800" w:header="851" w:footer="992" w:gutter="0"/>
          <w:cols w:space="425" w:num="1"/>
          <w:docGrid w:type="lines" w:linePitch="312" w:charSpace="0"/>
        </w:sectPr>
      </w:pPr>
    </w:p>
    <w:tbl>
      <w:tblPr>
        <w:tblStyle w:val="7"/>
        <w:tblW w:w="5000" w:type="pct"/>
        <w:jc w:val="center"/>
        <w:tblLayout w:type="autofit"/>
        <w:tblCellMar>
          <w:top w:w="0" w:type="dxa"/>
          <w:left w:w="108" w:type="dxa"/>
          <w:bottom w:w="0" w:type="dxa"/>
          <w:right w:w="108" w:type="dxa"/>
        </w:tblCellMar>
      </w:tblPr>
      <w:tblGrid>
        <w:gridCol w:w="751"/>
        <w:gridCol w:w="1296"/>
        <w:gridCol w:w="3754"/>
        <w:gridCol w:w="831"/>
        <w:gridCol w:w="1058"/>
        <w:gridCol w:w="1096"/>
        <w:gridCol w:w="1242"/>
        <w:gridCol w:w="962"/>
        <w:gridCol w:w="1101"/>
        <w:gridCol w:w="1098"/>
        <w:gridCol w:w="985"/>
      </w:tblGrid>
      <w:tr>
        <w:tblPrEx>
          <w:tblCellMar>
            <w:top w:w="0" w:type="dxa"/>
            <w:left w:w="108" w:type="dxa"/>
            <w:bottom w:w="0" w:type="dxa"/>
            <w:right w:w="108" w:type="dxa"/>
          </w:tblCellMar>
        </w:tblPrEx>
        <w:trPr>
          <w:trHeight w:val="855" w:hRule="atLeast"/>
          <w:jc w:val="center"/>
        </w:trPr>
        <w:tc>
          <w:tcPr>
            <w:tcW w:w="5000" w:type="pct"/>
            <w:gridSpan w:val="11"/>
            <w:tcBorders>
              <w:top w:val="nil"/>
              <w:left w:val="nil"/>
              <w:bottom w:val="nil"/>
              <w:right w:val="nil"/>
            </w:tcBorders>
            <w:noWrap/>
            <w:vAlign w:val="center"/>
          </w:tcPr>
          <w:p>
            <w:pPr>
              <w:widowControl/>
              <w:spacing w:line="400" w:lineRule="exact"/>
              <w:jc w:val="left"/>
              <w:rPr>
                <w:rFonts w:hint="eastAsia" w:eastAsia="仿宋_GB2312"/>
                <w:sz w:val="32"/>
                <w:szCs w:val="32"/>
              </w:rPr>
            </w:pPr>
            <w:r>
              <w:rPr>
                <w:rFonts w:hint="eastAsia" w:eastAsia="仿宋_GB2312"/>
                <w:sz w:val="32"/>
                <w:szCs w:val="32"/>
              </w:rPr>
              <w:t>附件1</w:t>
            </w:r>
          </w:p>
          <w:p>
            <w:pPr>
              <w:widowControl/>
              <w:spacing w:line="700" w:lineRule="exact"/>
              <w:jc w:val="center"/>
              <w:rPr>
                <w:rFonts w:ascii="方正小标宋简体" w:hAnsi="华文中宋" w:eastAsia="方正小标宋简体" w:cs="宋体"/>
                <w:color w:val="000000"/>
                <w:kern w:val="0"/>
                <w:sz w:val="44"/>
                <w:szCs w:val="44"/>
              </w:rPr>
            </w:pPr>
            <w:r>
              <w:rPr>
                <w:rFonts w:hint="eastAsia" w:ascii="方正小标宋简体" w:hAnsi="华文中宋" w:eastAsia="方正小标宋简体" w:cs="宋体"/>
                <w:color w:val="000000"/>
                <w:kern w:val="0"/>
                <w:sz w:val="44"/>
                <w:szCs w:val="44"/>
              </w:rPr>
              <w:t>2022年度市级水利工程维修项目概算审核表</w:t>
            </w:r>
          </w:p>
        </w:tc>
      </w:tr>
      <w:tr>
        <w:tblPrEx>
          <w:tblCellMar>
            <w:top w:w="0" w:type="dxa"/>
            <w:left w:w="108" w:type="dxa"/>
            <w:bottom w:w="0" w:type="dxa"/>
            <w:right w:w="108" w:type="dxa"/>
          </w:tblCellMar>
        </w:tblPrEx>
        <w:trPr>
          <w:trHeight w:val="300" w:hRule="atLeast"/>
          <w:jc w:val="center"/>
        </w:trPr>
        <w:tc>
          <w:tcPr>
            <w:tcW w:w="5000" w:type="pct"/>
            <w:gridSpan w:val="11"/>
            <w:tcBorders>
              <w:top w:val="nil"/>
              <w:left w:val="nil"/>
              <w:bottom w:val="nil"/>
              <w:right w:val="nil"/>
            </w:tcBorders>
            <w:noWrap/>
            <w:vAlign w:val="center"/>
          </w:tcPr>
          <w:p>
            <w:pPr>
              <w:widowControl/>
              <w:jc w:val="right"/>
              <w:rPr>
                <w:rFonts w:ascii="黑体" w:hAnsi="黑体" w:eastAsia="黑体" w:cs="宋体"/>
                <w:color w:val="000000"/>
                <w:kern w:val="0"/>
                <w:sz w:val="22"/>
              </w:rPr>
            </w:pPr>
            <w:r>
              <w:rPr>
                <w:rFonts w:hint="eastAsia" w:ascii="黑体" w:hAnsi="黑体" w:eastAsia="黑体" w:cs="宋体"/>
                <w:color w:val="000000"/>
                <w:kern w:val="0"/>
                <w:sz w:val="22"/>
              </w:rPr>
              <w:t>单位：万元</w:t>
            </w:r>
          </w:p>
        </w:tc>
      </w:tr>
      <w:tr>
        <w:tblPrEx>
          <w:tblCellMar>
            <w:top w:w="0" w:type="dxa"/>
            <w:left w:w="108" w:type="dxa"/>
            <w:bottom w:w="0" w:type="dxa"/>
            <w:right w:w="108" w:type="dxa"/>
          </w:tblCellMar>
        </w:tblPrEx>
        <w:trPr>
          <w:trHeight w:val="285" w:hRule="atLeast"/>
          <w:jc w:val="center"/>
        </w:trPr>
        <w:tc>
          <w:tcPr>
            <w:tcW w:w="266"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黑体" w:hAnsi="黑体" w:eastAsia="黑体" w:cs="宋体"/>
                <w:kern w:val="0"/>
                <w:sz w:val="22"/>
              </w:rPr>
            </w:pPr>
            <w:r>
              <w:rPr>
                <w:rFonts w:hint="eastAsia" w:ascii="黑体" w:hAnsi="黑体" w:eastAsia="黑体" w:cs="宋体"/>
                <w:kern w:val="0"/>
                <w:sz w:val="22"/>
              </w:rPr>
              <w:t>序号</w:t>
            </w:r>
          </w:p>
        </w:tc>
        <w:tc>
          <w:tcPr>
            <w:tcW w:w="458"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黑体" w:hAnsi="黑体" w:eastAsia="黑体" w:cs="宋体"/>
                <w:kern w:val="0"/>
                <w:sz w:val="22"/>
              </w:rPr>
            </w:pPr>
            <w:r>
              <w:rPr>
                <w:rFonts w:hint="eastAsia" w:ascii="黑体" w:hAnsi="黑体" w:eastAsia="黑体" w:cs="宋体"/>
                <w:kern w:val="0"/>
                <w:sz w:val="22"/>
              </w:rPr>
              <w:t>单位</w:t>
            </w:r>
          </w:p>
        </w:tc>
        <w:tc>
          <w:tcPr>
            <w:tcW w:w="1325"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黑体" w:hAnsi="黑体" w:eastAsia="黑体" w:cs="宋体"/>
                <w:kern w:val="0"/>
                <w:sz w:val="22"/>
              </w:rPr>
            </w:pPr>
            <w:r>
              <w:rPr>
                <w:rFonts w:hint="eastAsia" w:ascii="黑体" w:hAnsi="黑体" w:eastAsia="黑体" w:cs="宋体"/>
                <w:kern w:val="0"/>
                <w:sz w:val="22"/>
              </w:rPr>
              <w:t>工程类项目名称</w:t>
            </w:r>
          </w:p>
        </w:tc>
        <w:tc>
          <w:tcPr>
            <w:tcW w:w="294"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2"/>
              </w:rPr>
            </w:pPr>
            <w:r>
              <w:rPr>
                <w:rFonts w:hint="eastAsia" w:ascii="黑体" w:hAnsi="黑体" w:eastAsia="黑体" w:cs="宋体"/>
                <w:kern w:val="0"/>
                <w:sz w:val="22"/>
              </w:rPr>
              <w:t>核定概算</w:t>
            </w:r>
          </w:p>
        </w:tc>
        <w:tc>
          <w:tcPr>
            <w:tcW w:w="374"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2"/>
              </w:rPr>
            </w:pPr>
            <w:r>
              <w:rPr>
                <w:rFonts w:hint="eastAsia" w:ascii="黑体" w:hAnsi="黑体" w:eastAsia="黑体" w:cs="宋体"/>
                <w:kern w:val="0"/>
                <w:sz w:val="22"/>
              </w:rPr>
              <w:t>建筑安装工程</w:t>
            </w:r>
          </w:p>
        </w:tc>
        <w:tc>
          <w:tcPr>
            <w:tcW w:w="379" w:type="pct"/>
            <w:vMerge w:val="restart"/>
            <w:tcBorders>
              <w:top w:val="single" w:color="auto" w:sz="4" w:space="0"/>
              <w:left w:val="single" w:color="auto" w:sz="4" w:space="0"/>
              <w:bottom w:val="single" w:color="000000" w:sz="4" w:space="0"/>
              <w:right w:val="single" w:color="auto" w:sz="4" w:space="0"/>
            </w:tcBorders>
            <w:noWrap/>
            <w:vAlign w:val="center"/>
          </w:tcPr>
          <w:p>
            <w:pPr>
              <w:widowControl/>
              <w:jc w:val="center"/>
              <w:rPr>
                <w:rFonts w:ascii="黑体" w:hAnsi="黑体" w:eastAsia="黑体" w:cs="宋体"/>
                <w:kern w:val="0"/>
                <w:sz w:val="22"/>
              </w:rPr>
            </w:pPr>
            <w:r>
              <w:rPr>
                <w:rFonts w:hint="eastAsia" w:ascii="黑体" w:hAnsi="黑体" w:eastAsia="黑体" w:cs="宋体"/>
                <w:kern w:val="0"/>
                <w:sz w:val="22"/>
              </w:rPr>
              <w:t>临时工程</w:t>
            </w:r>
          </w:p>
        </w:tc>
        <w:tc>
          <w:tcPr>
            <w:tcW w:w="1904" w:type="pct"/>
            <w:gridSpan w:val="5"/>
            <w:tcBorders>
              <w:top w:val="single" w:color="auto" w:sz="4" w:space="0"/>
              <w:left w:val="nil"/>
              <w:bottom w:val="single" w:color="auto" w:sz="4" w:space="0"/>
              <w:right w:val="single" w:color="auto" w:sz="4" w:space="0"/>
            </w:tcBorders>
            <w:vAlign w:val="center"/>
          </w:tcPr>
          <w:p>
            <w:pPr>
              <w:widowControl/>
              <w:jc w:val="center"/>
              <w:rPr>
                <w:rFonts w:ascii="黑体" w:hAnsi="黑体" w:eastAsia="黑体" w:cs="宋体"/>
                <w:kern w:val="0"/>
                <w:sz w:val="22"/>
              </w:rPr>
            </w:pPr>
            <w:r>
              <w:rPr>
                <w:rFonts w:hint="eastAsia" w:ascii="黑体" w:hAnsi="黑体" w:eastAsia="黑体" w:cs="宋体"/>
                <w:kern w:val="0"/>
                <w:sz w:val="22"/>
              </w:rPr>
              <w:t>　</w:t>
            </w:r>
          </w:p>
        </w:tc>
      </w:tr>
      <w:tr>
        <w:tblPrEx>
          <w:tblCellMar>
            <w:top w:w="0" w:type="dxa"/>
            <w:left w:w="108" w:type="dxa"/>
            <w:bottom w:w="0" w:type="dxa"/>
            <w:right w:w="108" w:type="dxa"/>
          </w:tblCellMar>
        </w:tblPrEx>
        <w:trPr>
          <w:trHeight w:val="540" w:hRule="atLeast"/>
          <w:jc w:val="center"/>
        </w:trPr>
        <w:tc>
          <w:tcPr>
            <w:tcW w:w="26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kern w:val="0"/>
                <w:sz w:val="22"/>
              </w:rPr>
            </w:pPr>
          </w:p>
        </w:tc>
        <w:tc>
          <w:tcPr>
            <w:tcW w:w="45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kern w:val="0"/>
                <w:sz w:val="22"/>
              </w:rPr>
            </w:pPr>
          </w:p>
        </w:tc>
        <w:tc>
          <w:tcPr>
            <w:tcW w:w="132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kern w:val="0"/>
                <w:sz w:val="22"/>
              </w:rPr>
            </w:pPr>
          </w:p>
        </w:tc>
        <w:tc>
          <w:tcPr>
            <w:tcW w:w="2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kern w:val="0"/>
                <w:sz w:val="22"/>
              </w:rPr>
            </w:pPr>
          </w:p>
        </w:tc>
        <w:tc>
          <w:tcPr>
            <w:tcW w:w="37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kern w:val="0"/>
                <w:sz w:val="22"/>
              </w:rPr>
            </w:pPr>
          </w:p>
        </w:tc>
        <w:tc>
          <w:tcPr>
            <w:tcW w:w="379"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kern w:val="0"/>
                <w:sz w:val="22"/>
              </w:rPr>
            </w:pPr>
          </w:p>
        </w:tc>
        <w:tc>
          <w:tcPr>
            <w:tcW w:w="439" w:type="pct"/>
            <w:tcBorders>
              <w:top w:val="nil"/>
              <w:left w:val="nil"/>
              <w:bottom w:val="single" w:color="auto" w:sz="4" w:space="0"/>
              <w:right w:val="single" w:color="auto" w:sz="4" w:space="0"/>
            </w:tcBorders>
            <w:vAlign w:val="center"/>
          </w:tcPr>
          <w:p>
            <w:pPr>
              <w:widowControl/>
              <w:jc w:val="center"/>
              <w:rPr>
                <w:rFonts w:ascii="黑体" w:hAnsi="黑体" w:eastAsia="黑体" w:cs="宋体"/>
                <w:kern w:val="0"/>
                <w:sz w:val="22"/>
              </w:rPr>
            </w:pPr>
            <w:r>
              <w:rPr>
                <w:rFonts w:hint="eastAsia" w:ascii="黑体" w:hAnsi="黑体" w:eastAsia="黑体" w:cs="宋体"/>
                <w:kern w:val="0"/>
                <w:sz w:val="22"/>
              </w:rPr>
              <w:t>工程建设监理费</w:t>
            </w:r>
          </w:p>
        </w:tc>
        <w:tc>
          <w:tcPr>
            <w:tcW w:w="340" w:type="pct"/>
            <w:tcBorders>
              <w:top w:val="nil"/>
              <w:left w:val="nil"/>
              <w:bottom w:val="single" w:color="auto" w:sz="4" w:space="0"/>
              <w:right w:val="single" w:color="auto" w:sz="4" w:space="0"/>
            </w:tcBorders>
            <w:vAlign w:val="center"/>
          </w:tcPr>
          <w:p>
            <w:pPr>
              <w:widowControl/>
              <w:jc w:val="center"/>
              <w:rPr>
                <w:rFonts w:ascii="黑体" w:hAnsi="黑体" w:eastAsia="黑体" w:cs="宋体"/>
                <w:kern w:val="0"/>
                <w:sz w:val="22"/>
              </w:rPr>
            </w:pPr>
            <w:r>
              <w:rPr>
                <w:rFonts w:hint="eastAsia" w:ascii="黑体" w:hAnsi="黑体" w:eastAsia="黑体" w:cs="宋体"/>
                <w:kern w:val="0"/>
                <w:sz w:val="22"/>
              </w:rPr>
              <w:t>勘测费</w:t>
            </w:r>
          </w:p>
        </w:tc>
        <w:tc>
          <w:tcPr>
            <w:tcW w:w="389" w:type="pct"/>
            <w:tcBorders>
              <w:top w:val="nil"/>
              <w:left w:val="nil"/>
              <w:bottom w:val="single" w:color="auto" w:sz="4" w:space="0"/>
              <w:right w:val="single" w:color="auto" w:sz="4" w:space="0"/>
            </w:tcBorders>
            <w:vAlign w:val="center"/>
          </w:tcPr>
          <w:p>
            <w:pPr>
              <w:widowControl/>
              <w:jc w:val="center"/>
              <w:rPr>
                <w:rFonts w:ascii="黑体" w:hAnsi="黑体" w:eastAsia="黑体" w:cs="宋体"/>
                <w:kern w:val="0"/>
                <w:sz w:val="22"/>
              </w:rPr>
            </w:pPr>
            <w:r>
              <w:rPr>
                <w:rFonts w:hint="eastAsia" w:ascii="黑体" w:hAnsi="黑体" w:eastAsia="黑体" w:cs="宋体"/>
                <w:kern w:val="0"/>
                <w:sz w:val="22"/>
              </w:rPr>
              <w:t>设计费</w:t>
            </w:r>
          </w:p>
        </w:tc>
        <w:tc>
          <w:tcPr>
            <w:tcW w:w="388" w:type="pct"/>
            <w:tcBorders>
              <w:top w:val="nil"/>
              <w:left w:val="nil"/>
              <w:bottom w:val="single" w:color="auto" w:sz="4" w:space="0"/>
              <w:right w:val="single" w:color="auto" w:sz="4" w:space="0"/>
            </w:tcBorders>
            <w:vAlign w:val="center"/>
          </w:tcPr>
          <w:p>
            <w:pPr>
              <w:widowControl/>
              <w:jc w:val="center"/>
              <w:rPr>
                <w:rFonts w:ascii="黑体" w:hAnsi="黑体" w:eastAsia="黑体" w:cs="宋体"/>
                <w:kern w:val="0"/>
                <w:sz w:val="22"/>
              </w:rPr>
            </w:pPr>
            <w:r>
              <w:rPr>
                <w:rFonts w:hint="eastAsia" w:ascii="黑体" w:hAnsi="黑体" w:eastAsia="黑体" w:cs="宋体"/>
                <w:kern w:val="0"/>
                <w:sz w:val="22"/>
              </w:rPr>
              <w:t>工程质量检测费</w:t>
            </w:r>
          </w:p>
        </w:tc>
        <w:tc>
          <w:tcPr>
            <w:tcW w:w="348" w:type="pct"/>
            <w:tcBorders>
              <w:top w:val="nil"/>
              <w:left w:val="nil"/>
              <w:bottom w:val="single" w:color="auto" w:sz="4" w:space="0"/>
              <w:right w:val="single" w:color="auto" w:sz="4" w:space="0"/>
            </w:tcBorders>
            <w:vAlign w:val="center"/>
          </w:tcPr>
          <w:p>
            <w:pPr>
              <w:widowControl/>
              <w:jc w:val="center"/>
              <w:rPr>
                <w:rFonts w:ascii="黑体" w:hAnsi="黑体" w:eastAsia="黑体" w:cs="宋体"/>
                <w:kern w:val="0"/>
                <w:sz w:val="22"/>
              </w:rPr>
            </w:pPr>
            <w:r>
              <w:rPr>
                <w:rFonts w:hint="eastAsia" w:ascii="黑体" w:hAnsi="黑体" w:eastAsia="黑体" w:cs="宋体"/>
                <w:kern w:val="0"/>
                <w:sz w:val="22"/>
              </w:rPr>
              <w:t>工程审计费</w:t>
            </w:r>
          </w:p>
        </w:tc>
      </w:tr>
      <w:tr>
        <w:tblPrEx>
          <w:tblCellMar>
            <w:top w:w="0" w:type="dxa"/>
            <w:left w:w="108" w:type="dxa"/>
            <w:bottom w:w="0" w:type="dxa"/>
            <w:right w:w="108" w:type="dxa"/>
          </w:tblCellMar>
        </w:tblPrEx>
        <w:trPr>
          <w:trHeight w:val="540" w:hRule="atLeast"/>
          <w:jc w:val="center"/>
        </w:trPr>
        <w:tc>
          <w:tcPr>
            <w:tcW w:w="266" w:type="pct"/>
            <w:tcBorders>
              <w:top w:val="nil"/>
              <w:left w:val="single" w:color="auto" w:sz="4" w:space="0"/>
              <w:bottom w:val="single" w:color="auto" w:sz="4" w:space="0"/>
              <w:right w:val="single" w:color="auto"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458" w:type="pct"/>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kern w:val="0"/>
                <w:sz w:val="22"/>
              </w:rPr>
            </w:pPr>
            <w:r>
              <w:rPr>
                <w:rFonts w:hint="eastAsia" w:ascii="宋体" w:hAnsi="宋体" w:eastAsia="宋体" w:cs="宋体"/>
                <w:kern w:val="0"/>
                <w:sz w:val="22"/>
              </w:rPr>
              <w:t>市长江河道管理处</w:t>
            </w:r>
          </w:p>
        </w:tc>
        <w:tc>
          <w:tcPr>
            <w:tcW w:w="1325" w:type="pct"/>
            <w:tcBorders>
              <w:top w:val="nil"/>
              <w:left w:val="nil"/>
              <w:bottom w:val="single" w:color="auto" w:sz="4" w:space="0"/>
              <w:right w:val="single" w:color="auto" w:sz="4" w:space="0"/>
            </w:tcBorders>
            <w:vAlign w:val="center"/>
          </w:tcPr>
          <w:p>
            <w:pPr>
              <w:widowControl/>
              <w:jc w:val="left"/>
              <w:rPr>
                <w:rFonts w:ascii="宋体" w:hAnsi="宋体" w:eastAsia="宋体" w:cs="宋体"/>
                <w:kern w:val="0"/>
                <w:sz w:val="22"/>
              </w:rPr>
            </w:pPr>
            <w:r>
              <w:rPr>
                <w:rFonts w:hint="eastAsia" w:ascii="宋体" w:hAnsi="宋体" w:eastAsia="宋体" w:cs="宋体"/>
                <w:kern w:val="0"/>
                <w:sz w:val="22"/>
              </w:rPr>
              <w:t>市长江河道管理处2022年度市级水利工程维修项目</w:t>
            </w:r>
          </w:p>
        </w:tc>
        <w:tc>
          <w:tcPr>
            <w:tcW w:w="294"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450</w:t>
            </w:r>
          </w:p>
        </w:tc>
        <w:tc>
          <w:tcPr>
            <w:tcW w:w="374"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401</w:t>
            </w:r>
          </w:p>
        </w:tc>
        <w:tc>
          <w:tcPr>
            <w:tcW w:w="379"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c>
          <w:tcPr>
            <w:tcW w:w="439"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19.2</w:t>
            </w:r>
          </w:p>
        </w:tc>
        <w:tc>
          <w:tcPr>
            <w:tcW w:w="340" w:type="pct"/>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w:t>
            </w:r>
          </w:p>
        </w:tc>
        <w:tc>
          <w:tcPr>
            <w:tcW w:w="389"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19.2</w:t>
            </w:r>
          </w:p>
        </w:tc>
        <w:tc>
          <w:tcPr>
            <w:tcW w:w="388"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1.6</w:t>
            </w:r>
          </w:p>
        </w:tc>
        <w:tc>
          <w:tcPr>
            <w:tcW w:w="348"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w:t>
            </w:r>
          </w:p>
        </w:tc>
      </w:tr>
      <w:tr>
        <w:tblPrEx>
          <w:tblCellMar>
            <w:top w:w="0" w:type="dxa"/>
            <w:left w:w="108" w:type="dxa"/>
            <w:bottom w:w="0" w:type="dxa"/>
            <w:right w:w="108" w:type="dxa"/>
          </w:tblCellMar>
        </w:tblPrEx>
        <w:trPr>
          <w:trHeight w:val="1080" w:hRule="atLeast"/>
          <w:jc w:val="center"/>
        </w:trPr>
        <w:tc>
          <w:tcPr>
            <w:tcW w:w="266" w:type="pct"/>
            <w:tcBorders>
              <w:top w:val="nil"/>
              <w:left w:val="single" w:color="auto" w:sz="4" w:space="0"/>
              <w:bottom w:val="single" w:color="auto" w:sz="4" w:space="0"/>
              <w:right w:val="single" w:color="auto"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458" w:type="pct"/>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kern w:val="0"/>
                <w:sz w:val="22"/>
              </w:rPr>
            </w:pPr>
            <w:r>
              <w:rPr>
                <w:rFonts w:hint="eastAsia" w:ascii="宋体" w:hAnsi="宋体" w:eastAsia="宋体" w:cs="宋体"/>
                <w:kern w:val="0"/>
                <w:sz w:val="22"/>
              </w:rPr>
              <w:t>市秦淮河河道管理处</w:t>
            </w:r>
          </w:p>
        </w:tc>
        <w:tc>
          <w:tcPr>
            <w:tcW w:w="1325" w:type="pct"/>
            <w:tcBorders>
              <w:top w:val="nil"/>
              <w:left w:val="nil"/>
              <w:bottom w:val="single" w:color="auto" w:sz="4" w:space="0"/>
              <w:right w:val="single" w:color="auto" w:sz="4" w:space="0"/>
            </w:tcBorders>
            <w:vAlign w:val="center"/>
          </w:tcPr>
          <w:p>
            <w:pPr>
              <w:widowControl/>
              <w:jc w:val="left"/>
              <w:rPr>
                <w:rFonts w:ascii="宋体" w:hAnsi="宋体" w:eastAsia="宋体" w:cs="宋体"/>
                <w:kern w:val="0"/>
                <w:sz w:val="22"/>
              </w:rPr>
            </w:pPr>
            <w:r>
              <w:rPr>
                <w:rFonts w:hint="eastAsia" w:ascii="宋体" w:hAnsi="宋体" w:eastAsia="宋体" w:cs="宋体"/>
                <w:kern w:val="0"/>
                <w:sz w:val="22"/>
              </w:rPr>
              <w:t>秦淮新河左岸西善桥至宁马高速桥段堤顶道路、迎背水坡坡面及附属设施维修工程</w:t>
            </w:r>
          </w:p>
        </w:tc>
        <w:tc>
          <w:tcPr>
            <w:tcW w:w="294"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395</w:t>
            </w:r>
          </w:p>
        </w:tc>
        <w:tc>
          <w:tcPr>
            <w:tcW w:w="374"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350</w:t>
            </w:r>
          </w:p>
        </w:tc>
        <w:tc>
          <w:tcPr>
            <w:tcW w:w="379"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439"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16.7</w:t>
            </w:r>
          </w:p>
        </w:tc>
        <w:tc>
          <w:tcPr>
            <w:tcW w:w="340" w:type="pct"/>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6.4</w:t>
            </w:r>
          </w:p>
        </w:tc>
        <w:tc>
          <w:tcPr>
            <w:tcW w:w="389"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14.3</w:t>
            </w:r>
          </w:p>
        </w:tc>
        <w:tc>
          <w:tcPr>
            <w:tcW w:w="388"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1.4</w:t>
            </w:r>
          </w:p>
        </w:tc>
        <w:tc>
          <w:tcPr>
            <w:tcW w:w="348"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1.2</w:t>
            </w:r>
          </w:p>
        </w:tc>
      </w:tr>
      <w:tr>
        <w:tblPrEx>
          <w:tblCellMar>
            <w:top w:w="0" w:type="dxa"/>
            <w:left w:w="108" w:type="dxa"/>
            <w:bottom w:w="0" w:type="dxa"/>
            <w:right w:w="108" w:type="dxa"/>
          </w:tblCellMar>
        </w:tblPrEx>
        <w:trPr>
          <w:trHeight w:val="540" w:hRule="atLeast"/>
          <w:jc w:val="center"/>
        </w:trPr>
        <w:tc>
          <w:tcPr>
            <w:tcW w:w="266" w:type="pct"/>
            <w:tcBorders>
              <w:top w:val="nil"/>
              <w:left w:val="single" w:color="auto" w:sz="4" w:space="0"/>
              <w:bottom w:val="single" w:color="auto" w:sz="4" w:space="0"/>
              <w:right w:val="single" w:color="auto"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458" w:type="pct"/>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kern w:val="0"/>
                <w:sz w:val="22"/>
              </w:rPr>
            </w:pPr>
            <w:r>
              <w:rPr>
                <w:rFonts w:hint="eastAsia" w:ascii="宋体" w:hAnsi="宋体" w:eastAsia="宋体" w:cs="宋体"/>
                <w:kern w:val="0"/>
                <w:sz w:val="22"/>
              </w:rPr>
              <w:t>市滁河河道管理处</w:t>
            </w:r>
          </w:p>
        </w:tc>
        <w:tc>
          <w:tcPr>
            <w:tcW w:w="1325" w:type="pct"/>
            <w:tcBorders>
              <w:top w:val="nil"/>
              <w:left w:val="nil"/>
              <w:bottom w:val="single" w:color="auto" w:sz="4" w:space="0"/>
              <w:right w:val="single" w:color="auto" w:sz="4" w:space="0"/>
            </w:tcBorders>
            <w:vAlign w:val="center"/>
          </w:tcPr>
          <w:p>
            <w:pPr>
              <w:widowControl/>
              <w:jc w:val="left"/>
              <w:rPr>
                <w:rFonts w:ascii="宋体" w:hAnsi="宋体" w:eastAsia="宋体" w:cs="宋体"/>
                <w:kern w:val="0"/>
                <w:sz w:val="22"/>
              </w:rPr>
            </w:pPr>
            <w:r>
              <w:rPr>
                <w:rFonts w:hint="eastAsia" w:ascii="宋体" w:hAnsi="宋体" w:eastAsia="宋体" w:cs="宋体"/>
                <w:kern w:val="0"/>
                <w:sz w:val="22"/>
              </w:rPr>
              <w:t>市滁河河道管理2022年度市级水利工程维修项目</w:t>
            </w:r>
          </w:p>
        </w:tc>
        <w:tc>
          <w:tcPr>
            <w:tcW w:w="294"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385</w:t>
            </w:r>
          </w:p>
        </w:tc>
        <w:tc>
          <w:tcPr>
            <w:tcW w:w="374"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343</w:t>
            </w:r>
          </w:p>
        </w:tc>
        <w:tc>
          <w:tcPr>
            <w:tcW w:w="379"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439"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16</w:t>
            </w:r>
          </w:p>
        </w:tc>
        <w:tc>
          <w:tcPr>
            <w:tcW w:w="340" w:type="pct"/>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389"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14</w:t>
            </w:r>
          </w:p>
        </w:tc>
        <w:tc>
          <w:tcPr>
            <w:tcW w:w="388"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48"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r>
      <w:tr>
        <w:tblPrEx>
          <w:tblCellMar>
            <w:top w:w="0" w:type="dxa"/>
            <w:left w:w="108" w:type="dxa"/>
            <w:bottom w:w="0" w:type="dxa"/>
            <w:right w:w="108" w:type="dxa"/>
          </w:tblCellMar>
        </w:tblPrEx>
        <w:trPr>
          <w:trHeight w:val="540" w:hRule="atLeast"/>
          <w:jc w:val="center"/>
        </w:trPr>
        <w:tc>
          <w:tcPr>
            <w:tcW w:w="266" w:type="pct"/>
            <w:tcBorders>
              <w:top w:val="nil"/>
              <w:left w:val="single" w:color="auto" w:sz="4" w:space="0"/>
              <w:bottom w:val="single" w:color="auto" w:sz="4" w:space="0"/>
              <w:right w:val="single" w:color="auto"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458" w:type="pct"/>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kern w:val="0"/>
                <w:sz w:val="22"/>
              </w:rPr>
            </w:pPr>
            <w:r>
              <w:rPr>
                <w:rFonts w:hint="eastAsia" w:ascii="宋体" w:hAnsi="宋体" w:eastAsia="宋体" w:cs="宋体"/>
                <w:kern w:val="0"/>
                <w:sz w:val="22"/>
              </w:rPr>
              <w:t>市三汊河河口闸管理处</w:t>
            </w:r>
          </w:p>
        </w:tc>
        <w:tc>
          <w:tcPr>
            <w:tcW w:w="1325" w:type="pct"/>
            <w:tcBorders>
              <w:top w:val="nil"/>
              <w:left w:val="nil"/>
              <w:bottom w:val="single" w:color="auto" w:sz="4" w:space="0"/>
              <w:right w:val="single" w:color="auto" w:sz="4" w:space="0"/>
            </w:tcBorders>
            <w:vAlign w:val="center"/>
          </w:tcPr>
          <w:p>
            <w:pPr>
              <w:widowControl/>
              <w:jc w:val="left"/>
              <w:rPr>
                <w:rFonts w:ascii="宋体" w:hAnsi="宋体" w:eastAsia="宋体" w:cs="宋体"/>
                <w:kern w:val="0"/>
                <w:sz w:val="22"/>
              </w:rPr>
            </w:pPr>
            <w:r>
              <w:rPr>
                <w:rFonts w:hint="eastAsia" w:ascii="宋体" w:hAnsi="宋体" w:eastAsia="宋体" w:cs="宋体"/>
                <w:kern w:val="0"/>
                <w:sz w:val="22"/>
              </w:rPr>
              <w:t>2022年三汊河河口闸配电房维修项目</w:t>
            </w:r>
          </w:p>
        </w:tc>
        <w:tc>
          <w:tcPr>
            <w:tcW w:w="294"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149</w:t>
            </w:r>
          </w:p>
        </w:tc>
        <w:tc>
          <w:tcPr>
            <w:tcW w:w="374"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132.2</w:t>
            </w:r>
          </w:p>
        </w:tc>
        <w:tc>
          <w:tcPr>
            <w:tcW w:w="379"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w:t>
            </w:r>
          </w:p>
        </w:tc>
        <w:tc>
          <w:tcPr>
            <w:tcW w:w="439"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c>
          <w:tcPr>
            <w:tcW w:w="340" w:type="pct"/>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89"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8.2</w:t>
            </w:r>
          </w:p>
        </w:tc>
        <w:tc>
          <w:tcPr>
            <w:tcW w:w="388"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0.6</w:t>
            </w:r>
          </w:p>
        </w:tc>
        <w:tc>
          <w:tcPr>
            <w:tcW w:w="348"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0.5</w:t>
            </w:r>
          </w:p>
        </w:tc>
      </w:tr>
      <w:tr>
        <w:tblPrEx>
          <w:tblCellMar>
            <w:top w:w="0" w:type="dxa"/>
            <w:left w:w="108" w:type="dxa"/>
            <w:bottom w:w="0" w:type="dxa"/>
            <w:right w:w="108" w:type="dxa"/>
          </w:tblCellMar>
        </w:tblPrEx>
        <w:trPr>
          <w:trHeight w:val="637" w:hRule="atLeast"/>
          <w:jc w:val="center"/>
        </w:trPr>
        <w:tc>
          <w:tcPr>
            <w:tcW w:w="2049" w:type="pct"/>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合计</w:t>
            </w:r>
          </w:p>
        </w:tc>
        <w:tc>
          <w:tcPr>
            <w:tcW w:w="294"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1379</w:t>
            </w:r>
          </w:p>
        </w:tc>
        <w:tc>
          <w:tcPr>
            <w:tcW w:w="374" w:type="pct"/>
            <w:tcBorders>
              <w:top w:val="nil"/>
              <w:left w:val="nil"/>
              <w:bottom w:val="single" w:color="auto" w:sz="4" w:space="0"/>
              <w:right w:val="single" w:color="auto" w:sz="4" w:space="0"/>
            </w:tcBorders>
            <w:noWrap/>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1226.2</w:t>
            </w:r>
          </w:p>
        </w:tc>
        <w:tc>
          <w:tcPr>
            <w:tcW w:w="379" w:type="pct"/>
            <w:tcBorders>
              <w:top w:val="nil"/>
              <w:left w:val="nil"/>
              <w:bottom w:val="single" w:color="auto" w:sz="4" w:space="0"/>
              <w:right w:val="single" w:color="auto" w:sz="4" w:space="0"/>
            </w:tcBorders>
            <w:noWrap/>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17.5</w:t>
            </w:r>
          </w:p>
        </w:tc>
        <w:tc>
          <w:tcPr>
            <w:tcW w:w="439" w:type="pct"/>
            <w:tcBorders>
              <w:top w:val="nil"/>
              <w:left w:val="nil"/>
              <w:bottom w:val="single" w:color="auto" w:sz="4" w:space="0"/>
              <w:right w:val="single" w:color="auto" w:sz="4"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57.9</w:t>
            </w:r>
          </w:p>
        </w:tc>
        <w:tc>
          <w:tcPr>
            <w:tcW w:w="340" w:type="pct"/>
            <w:tcBorders>
              <w:top w:val="nil"/>
              <w:left w:val="nil"/>
              <w:bottom w:val="single" w:color="auto" w:sz="4" w:space="0"/>
              <w:right w:val="single" w:color="auto" w:sz="4" w:space="0"/>
            </w:tcBorders>
            <w:noWrap/>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12.9</w:t>
            </w:r>
          </w:p>
        </w:tc>
        <w:tc>
          <w:tcPr>
            <w:tcW w:w="389" w:type="pct"/>
            <w:tcBorders>
              <w:top w:val="nil"/>
              <w:left w:val="nil"/>
              <w:bottom w:val="single" w:color="auto" w:sz="4" w:space="0"/>
              <w:right w:val="single" w:color="auto" w:sz="4" w:space="0"/>
            </w:tcBorders>
            <w:noWrap/>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55.7</w:t>
            </w:r>
          </w:p>
        </w:tc>
        <w:tc>
          <w:tcPr>
            <w:tcW w:w="388" w:type="pct"/>
            <w:tcBorders>
              <w:top w:val="nil"/>
              <w:left w:val="nil"/>
              <w:bottom w:val="single" w:color="auto" w:sz="4" w:space="0"/>
              <w:right w:val="single" w:color="auto" w:sz="4" w:space="0"/>
            </w:tcBorders>
            <w:noWrap/>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4.6</w:t>
            </w:r>
          </w:p>
        </w:tc>
        <w:tc>
          <w:tcPr>
            <w:tcW w:w="348" w:type="pct"/>
            <w:tcBorders>
              <w:top w:val="nil"/>
              <w:left w:val="nil"/>
              <w:bottom w:val="single" w:color="auto" w:sz="4" w:space="0"/>
              <w:right w:val="single" w:color="auto" w:sz="4" w:space="0"/>
            </w:tcBorders>
            <w:noWrap/>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4.2</w:t>
            </w:r>
          </w:p>
        </w:tc>
      </w:tr>
    </w:tbl>
    <w:p>
      <w:pPr>
        <w:widowControl/>
        <w:spacing w:line="400" w:lineRule="exact"/>
        <w:jc w:val="left"/>
        <w:rPr>
          <w:rFonts w:hint="eastAsia" w:eastAsia="仿宋_GB2312"/>
          <w:sz w:val="32"/>
          <w:szCs w:val="32"/>
        </w:rPr>
      </w:pPr>
    </w:p>
    <w:p>
      <w:pPr>
        <w:pStyle w:val="2"/>
        <w:rPr>
          <w:rFonts w:hint="eastAsia" w:eastAsia="仿宋_GB2312"/>
          <w:sz w:val="32"/>
          <w:szCs w:val="32"/>
        </w:rPr>
      </w:pPr>
    </w:p>
    <w:p>
      <w:pPr>
        <w:pStyle w:val="2"/>
        <w:rPr>
          <w:rFonts w:hint="eastAsia" w:eastAsia="仿宋_GB2312"/>
          <w:sz w:val="32"/>
          <w:szCs w:val="32"/>
        </w:rPr>
      </w:pPr>
    </w:p>
    <w:p>
      <w:pPr>
        <w:widowControl/>
        <w:spacing w:line="400" w:lineRule="exact"/>
        <w:jc w:val="left"/>
      </w:pPr>
      <w:r>
        <w:rPr>
          <w:rFonts w:hint="eastAsia" w:eastAsia="仿宋_GB2312"/>
          <w:sz w:val="32"/>
          <w:szCs w:val="32"/>
        </w:rPr>
        <w:t>附件2</w:t>
      </w:r>
    </w:p>
    <w:tbl>
      <w:tblPr>
        <w:tblStyle w:val="7"/>
        <w:tblW w:w="0" w:type="auto"/>
        <w:jc w:val="center"/>
        <w:tblLayout w:type="autofit"/>
        <w:tblCellMar>
          <w:top w:w="0" w:type="dxa"/>
          <w:left w:w="108" w:type="dxa"/>
          <w:bottom w:w="0" w:type="dxa"/>
          <w:right w:w="108" w:type="dxa"/>
        </w:tblCellMar>
      </w:tblPr>
      <w:tblGrid>
        <w:gridCol w:w="647"/>
        <w:gridCol w:w="2522"/>
        <w:gridCol w:w="3336"/>
        <w:gridCol w:w="2086"/>
        <w:gridCol w:w="2642"/>
        <w:gridCol w:w="2941"/>
      </w:tblGrid>
      <w:tr>
        <w:tblPrEx>
          <w:tblCellMar>
            <w:top w:w="0" w:type="dxa"/>
            <w:left w:w="108" w:type="dxa"/>
            <w:bottom w:w="0" w:type="dxa"/>
            <w:right w:w="108" w:type="dxa"/>
          </w:tblCellMar>
        </w:tblPrEx>
        <w:trPr>
          <w:trHeight w:val="405" w:hRule="atLeast"/>
          <w:jc w:val="center"/>
        </w:trPr>
        <w:tc>
          <w:tcPr>
            <w:tcW w:w="14446" w:type="dxa"/>
            <w:gridSpan w:val="6"/>
            <w:tcBorders>
              <w:top w:val="nil"/>
              <w:left w:val="nil"/>
              <w:bottom w:val="nil"/>
              <w:right w:val="nil"/>
            </w:tcBorders>
            <w:noWrap/>
            <w:vAlign w:val="center"/>
          </w:tcPr>
          <w:p>
            <w:pPr>
              <w:widowControl/>
              <w:spacing w:line="700" w:lineRule="exact"/>
              <w:jc w:val="center"/>
              <w:rPr>
                <w:rFonts w:ascii="方正小标宋简体" w:hAnsi="华文中宋" w:eastAsia="方正小标宋简体" w:cs="宋体"/>
                <w:color w:val="000000"/>
                <w:kern w:val="0"/>
                <w:sz w:val="44"/>
                <w:szCs w:val="44"/>
              </w:rPr>
            </w:pPr>
            <w:r>
              <w:rPr>
                <w:rFonts w:hint="eastAsia" w:ascii="方正小标宋简体" w:hAnsi="华文中宋" w:eastAsia="方正小标宋简体" w:cs="宋体"/>
                <w:color w:val="000000"/>
                <w:kern w:val="0"/>
                <w:sz w:val="44"/>
                <w:szCs w:val="44"/>
              </w:rPr>
              <w:t>2022年度市级水利工程维修项目经费分配明细表</w:t>
            </w:r>
          </w:p>
          <w:p>
            <w:pPr>
              <w:widowControl/>
              <w:spacing w:line="600" w:lineRule="exact"/>
              <w:jc w:val="right"/>
              <w:rPr>
                <w:rFonts w:ascii="宋体" w:hAnsi="宋体" w:eastAsia="宋体" w:cs="宋体"/>
                <w:b/>
                <w:bCs/>
                <w:color w:val="000000"/>
                <w:kern w:val="0"/>
              </w:rPr>
            </w:pPr>
            <w:r>
              <w:rPr>
                <w:rFonts w:hint="eastAsia" w:ascii="黑体" w:hAnsi="黑体" w:eastAsia="黑体" w:cs="宋体"/>
                <w:color w:val="000000"/>
                <w:kern w:val="0"/>
                <w:sz w:val="22"/>
              </w:rPr>
              <w:t>单位：万元</w:t>
            </w:r>
          </w:p>
        </w:tc>
      </w:tr>
      <w:tr>
        <w:tblPrEx>
          <w:tblCellMar>
            <w:top w:w="0" w:type="dxa"/>
            <w:left w:w="108" w:type="dxa"/>
            <w:bottom w:w="0" w:type="dxa"/>
            <w:right w:w="108" w:type="dxa"/>
          </w:tblCellMar>
        </w:tblPrEx>
        <w:trPr>
          <w:trHeight w:val="772" w:hRule="atLeast"/>
          <w:jc w:val="center"/>
        </w:trPr>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ascii="黑体" w:hAnsi="黑体" w:eastAsia="黑体" w:cs="宋体"/>
                <w:color w:val="000000"/>
                <w:kern w:val="0"/>
                <w:sz w:val="22"/>
              </w:rPr>
            </w:pPr>
            <w:r>
              <w:rPr>
                <w:rFonts w:hint="eastAsia" w:ascii="黑体" w:hAnsi="黑体" w:eastAsia="黑体" w:cs="宋体"/>
                <w:color w:val="000000"/>
                <w:kern w:val="0"/>
                <w:sz w:val="22"/>
              </w:rPr>
              <w:t>序号</w:t>
            </w:r>
          </w:p>
        </w:tc>
        <w:tc>
          <w:tcPr>
            <w:tcW w:w="257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黑体" w:hAnsi="黑体" w:eastAsia="黑体" w:cs="宋体"/>
                <w:color w:val="000000"/>
                <w:kern w:val="0"/>
                <w:sz w:val="22"/>
              </w:rPr>
            </w:pPr>
            <w:r>
              <w:rPr>
                <w:rFonts w:hint="eastAsia" w:ascii="黑体" w:hAnsi="黑体" w:eastAsia="黑体" w:cs="宋体"/>
                <w:color w:val="000000"/>
                <w:kern w:val="0"/>
                <w:sz w:val="22"/>
              </w:rPr>
              <w:t>单位</w:t>
            </w:r>
          </w:p>
        </w:tc>
        <w:tc>
          <w:tcPr>
            <w:tcW w:w="340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黑体" w:hAnsi="黑体" w:eastAsia="黑体" w:cs="宋体"/>
                <w:color w:val="000000"/>
                <w:kern w:val="0"/>
                <w:sz w:val="22"/>
              </w:rPr>
            </w:pPr>
            <w:r>
              <w:rPr>
                <w:rFonts w:hint="eastAsia" w:ascii="黑体" w:hAnsi="黑体" w:eastAsia="黑体" w:cs="宋体"/>
                <w:color w:val="000000"/>
                <w:kern w:val="0"/>
                <w:sz w:val="22"/>
              </w:rPr>
              <w:t>工程类项目名称</w:t>
            </w:r>
          </w:p>
        </w:tc>
        <w:tc>
          <w:tcPr>
            <w:tcW w:w="2126" w:type="dxa"/>
            <w:tcBorders>
              <w:top w:val="single" w:color="auto" w:sz="8" w:space="0"/>
              <w:left w:val="single" w:color="auto" w:sz="8" w:space="0"/>
              <w:right w:val="single" w:color="auto" w:sz="8" w:space="0"/>
            </w:tcBorders>
            <w:vAlign w:val="center"/>
          </w:tcPr>
          <w:p>
            <w:pPr>
              <w:widowControl/>
              <w:spacing w:line="300" w:lineRule="exact"/>
              <w:jc w:val="center"/>
              <w:rPr>
                <w:rFonts w:ascii="黑体" w:hAnsi="黑体" w:eastAsia="黑体" w:cs="宋体"/>
                <w:color w:val="000000"/>
                <w:kern w:val="0"/>
                <w:sz w:val="22"/>
              </w:rPr>
            </w:pPr>
            <w:r>
              <w:rPr>
                <w:rFonts w:hint="eastAsia" w:ascii="黑体" w:hAnsi="黑体" w:eastAsia="黑体" w:cs="宋体"/>
                <w:color w:val="000000"/>
                <w:kern w:val="0"/>
                <w:sz w:val="22"/>
              </w:rPr>
              <w:t>市级下达经费</w:t>
            </w:r>
          </w:p>
          <w:p>
            <w:pPr>
              <w:spacing w:line="300" w:lineRule="exact"/>
              <w:jc w:val="center"/>
              <w:rPr>
                <w:rFonts w:ascii="黑体" w:hAnsi="黑体" w:eastAsia="黑体" w:cs="宋体"/>
                <w:color w:val="000000"/>
                <w:kern w:val="0"/>
                <w:sz w:val="22"/>
              </w:rPr>
            </w:pPr>
            <w:r>
              <w:rPr>
                <w:rFonts w:hint="eastAsia" w:ascii="黑体" w:hAnsi="黑体" w:eastAsia="黑体" w:cs="宋体"/>
                <w:color w:val="000000"/>
                <w:kern w:val="0"/>
                <w:sz w:val="22"/>
              </w:rPr>
              <w:t>（万元）</w:t>
            </w:r>
          </w:p>
        </w:tc>
        <w:tc>
          <w:tcPr>
            <w:tcW w:w="2693" w:type="dxa"/>
            <w:tcBorders>
              <w:top w:val="single" w:color="auto" w:sz="8" w:space="0"/>
              <w:left w:val="nil"/>
              <w:right w:val="single" w:color="auto" w:sz="8" w:space="0"/>
            </w:tcBorders>
            <w:vAlign w:val="center"/>
          </w:tcPr>
          <w:p>
            <w:pPr>
              <w:widowControl/>
              <w:spacing w:line="300" w:lineRule="exact"/>
              <w:jc w:val="center"/>
              <w:rPr>
                <w:rFonts w:ascii="黑体" w:hAnsi="黑体" w:eastAsia="黑体" w:cs="宋体"/>
                <w:color w:val="000000"/>
                <w:kern w:val="0"/>
                <w:sz w:val="22"/>
              </w:rPr>
            </w:pPr>
            <w:r>
              <w:rPr>
                <w:rFonts w:hint="eastAsia" w:ascii="黑体" w:hAnsi="黑体" w:eastAsia="黑体" w:cs="宋体"/>
                <w:color w:val="000000"/>
                <w:kern w:val="0"/>
                <w:sz w:val="22"/>
              </w:rPr>
              <w:t>本次下达经费</w:t>
            </w:r>
          </w:p>
          <w:p>
            <w:pPr>
              <w:spacing w:line="300" w:lineRule="exact"/>
              <w:jc w:val="center"/>
              <w:rPr>
                <w:rFonts w:ascii="黑体" w:hAnsi="黑体" w:eastAsia="黑体" w:cs="宋体"/>
                <w:color w:val="000000"/>
                <w:kern w:val="0"/>
                <w:sz w:val="22"/>
              </w:rPr>
            </w:pPr>
            <w:r>
              <w:rPr>
                <w:rFonts w:hint="eastAsia" w:ascii="黑体" w:hAnsi="黑体" w:eastAsia="黑体" w:cs="宋体"/>
                <w:color w:val="000000"/>
                <w:kern w:val="0"/>
                <w:sz w:val="22"/>
              </w:rPr>
              <w:t>（万元）</w:t>
            </w:r>
          </w:p>
        </w:tc>
        <w:tc>
          <w:tcPr>
            <w:tcW w:w="2998" w:type="dxa"/>
            <w:tcBorders>
              <w:top w:val="single" w:color="auto" w:sz="8" w:space="0"/>
              <w:left w:val="nil"/>
              <w:right w:val="single" w:color="auto" w:sz="8" w:space="0"/>
            </w:tcBorders>
            <w:vAlign w:val="center"/>
          </w:tcPr>
          <w:p>
            <w:pPr>
              <w:widowControl/>
              <w:spacing w:line="300" w:lineRule="exact"/>
              <w:jc w:val="center"/>
              <w:rPr>
                <w:rFonts w:ascii="黑体" w:hAnsi="黑体" w:eastAsia="黑体" w:cs="宋体"/>
                <w:color w:val="000000"/>
                <w:kern w:val="0"/>
                <w:sz w:val="22"/>
              </w:rPr>
            </w:pPr>
            <w:r>
              <w:rPr>
                <w:rFonts w:hint="eastAsia" w:ascii="黑体" w:hAnsi="黑体" w:eastAsia="黑体" w:cs="宋体"/>
                <w:color w:val="000000"/>
                <w:kern w:val="0"/>
                <w:sz w:val="22"/>
              </w:rPr>
              <w:t>预留下达</w:t>
            </w:r>
          </w:p>
          <w:p>
            <w:pPr>
              <w:spacing w:line="300" w:lineRule="exact"/>
              <w:jc w:val="center"/>
              <w:rPr>
                <w:rFonts w:ascii="黑体" w:hAnsi="黑体" w:eastAsia="黑体" w:cs="宋体"/>
                <w:color w:val="000000"/>
                <w:kern w:val="0"/>
                <w:sz w:val="22"/>
              </w:rPr>
            </w:pPr>
            <w:r>
              <w:rPr>
                <w:rFonts w:hint="eastAsia" w:ascii="黑体" w:hAnsi="黑体" w:eastAsia="黑体" w:cs="宋体"/>
                <w:color w:val="000000"/>
                <w:kern w:val="0"/>
                <w:sz w:val="22"/>
              </w:rPr>
              <w:t>（万元）</w:t>
            </w:r>
          </w:p>
        </w:tc>
      </w:tr>
      <w:tr>
        <w:tblPrEx>
          <w:tblCellMar>
            <w:top w:w="0" w:type="dxa"/>
            <w:left w:w="108" w:type="dxa"/>
            <w:bottom w:w="0" w:type="dxa"/>
            <w:right w:w="108" w:type="dxa"/>
          </w:tblCellMar>
        </w:tblPrEx>
        <w:trPr>
          <w:trHeight w:val="528" w:hRule="atLeast"/>
          <w:jc w:val="center"/>
        </w:trPr>
        <w:tc>
          <w:tcPr>
            <w:tcW w:w="0" w:type="auto"/>
            <w:tcBorders>
              <w:top w:val="nil"/>
              <w:left w:val="single" w:color="auto" w:sz="4" w:space="0"/>
              <w:bottom w:val="single" w:color="auto" w:sz="4" w:space="0"/>
              <w:right w:val="single" w:color="auto" w:sz="4" w:space="0"/>
            </w:tcBorders>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w:t>
            </w:r>
          </w:p>
        </w:tc>
        <w:tc>
          <w:tcPr>
            <w:tcW w:w="2571"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市长江河道管理处</w:t>
            </w:r>
          </w:p>
        </w:tc>
        <w:tc>
          <w:tcPr>
            <w:tcW w:w="3402" w:type="dxa"/>
            <w:tcBorders>
              <w:top w:val="nil"/>
              <w:left w:val="nil"/>
              <w:bottom w:val="single" w:color="auto" w:sz="4" w:space="0"/>
              <w:right w:val="single" w:color="auto" w:sz="4" w:space="0"/>
            </w:tcBorders>
            <w:vAlign w:val="center"/>
          </w:tcPr>
          <w:p>
            <w:pPr>
              <w:widowControl/>
              <w:jc w:val="left"/>
              <w:rPr>
                <w:rFonts w:ascii="宋体" w:hAnsi="宋体" w:eastAsia="宋体" w:cs="宋体"/>
                <w:kern w:val="0"/>
                <w:sz w:val="22"/>
              </w:rPr>
            </w:pPr>
            <w:r>
              <w:rPr>
                <w:rFonts w:hint="eastAsia" w:ascii="宋体" w:hAnsi="宋体" w:eastAsia="宋体" w:cs="宋体"/>
                <w:kern w:val="0"/>
                <w:sz w:val="22"/>
              </w:rPr>
              <w:t>市长江河道管理处2022年度市级水利工程维修项目</w:t>
            </w:r>
          </w:p>
        </w:tc>
        <w:tc>
          <w:tcPr>
            <w:tcW w:w="2126"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kern w:val="0"/>
                <w:sz w:val="24"/>
                <w:szCs w:val="24"/>
              </w:rPr>
              <w:t>450</w:t>
            </w:r>
          </w:p>
        </w:tc>
        <w:tc>
          <w:tcPr>
            <w:tcW w:w="2693" w:type="dxa"/>
            <w:tcBorders>
              <w:top w:val="single" w:color="auto" w:sz="4" w:space="0"/>
              <w:left w:val="nil"/>
              <w:bottom w:val="single" w:color="auto" w:sz="4" w:space="0"/>
              <w:right w:val="single" w:color="auto" w:sz="4" w:space="0"/>
            </w:tcBorders>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kern w:val="0"/>
                <w:sz w:val="24"/>
                <w:szCs w:val="24"/>
              </w:rPr>
              <w:t>303</w:t>
            </w:r>
          </w:p>
        </w:tc>
        <w:tc>
          <w:tcPr>
            <w:tcW w:w="2998" w:type="dxa"/>
            <w:tcBorders>
              <w:top w:val="single" w:color="auto" w:sz="4" w:space="0"/>
              <w:left w:val="nil"/>
              <w:bottom w:val="single" w:color="auto" w:sz="4" w:space="0"/>
              <w:right w:val="single" w:color="auto" w:sz="4" w:space="0"/>
            </w:tcBorders>
            <w:noWrap/>
            <w:vAlign w:val="center"/>
          </w:tcPr>
          <w:p>
            <w:pPr>
              <w:jc w:val="center"/>
              <w:textAlignment w:val="center"/>
              <w:rPr>
                <w:rFonts w:ascii="宋体" w:hAnsi="宋体" w:eastAsia="宋体" w:cs="宋体"/>
                <w:kern w:val="0"/>
                <w:sz w:val="24"/>
                <w:szCs w:val="24"/>
              </w:rPr>
            </w:pPr>
            <w:r>
              <w:rPr>
                <w:rFonts w:hint="eastAsia" w:ascii="宋体" w:hAnsi="宋体" w:eastAsia="宋体" w:cs="宋体"/>
                <w:kern w:val="0"/>
                <w:sz w:val="24"/>
                <w:szCs w:val="24"/>
              </w:rPr>
              <w:t>147</w:t>
            </w:r>
          </w:p>
        </w:tc>
      </w:tr>
      <w:tr>
        <w:tblPrEx>
          <w:tblCellMar>
            <w:top w:w="0" w:type="dxa"/>
            <w:left w:w="108" w:type="dxa"/>
            <w:bottom w:w="0" w:type="dxa"/>
            <w:right w:w="108" w:type="dxa"/>
          </w:tblCellMar>
        </w:tblPrEx>
        <w:trPr>
          <w:trHeight w:val="695" w:hRule="atLeast"/>
          <w:jc w:val="center"/>
        </w:trPr>
        <w:tc>
          <w:tcPr>
            <w:tcW w:w="0" w:type="auto"/>
            <w:tcBorders>
              <w:top w:val="nil"/>
              <w:left w:val="single" w:color="auto" w:sz="4" w:space="0"/>
              <w:bottom w:val="single" w:color="auto" w:sz="4" w:space="0"/>
              <w:right w:val="single" w:color="auto" w:sz="4" w:space="0"/>
            </w:tcBorders>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2</w:t>
            </w:r>
          </w:p>
        </w:tc>
        <w:tc>
          <w:tcPr>
            <w:tcW w:w="2571" w:type="dxa"/>
            <w:tcBorders>
              <w:top w:val="nil"/>
              <w:left w:val="nil"/>
              <w:bottom w:val="single" w:color="auto" w:sz="4" w:space="0"/>
              <w:right w:val="single" w:color="auto" w:sz="4" w:space="0"/>
            </w:tcBorders>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市秦淮河河道管理处</w:t>
            </w:r>
          </w:p>
        </w:tc>
        <w:tc>
          <w:tcPr>
            <w:tcW w:w="3402" w:type="dxa"/>
            <w:tcBorders>
              <w:top w:val="nil"/>
              <w:left w:val="nil"/>
              <w:bottom w:val="single" w:color="auto" w:sz="4" w:space="0"/>
              <w:right w:val="single" w:color="auto" w:sz="4" w:space="0"/>
            </w:tcBorders>
            <w:vAlign w:val="center"/>
          </w:tcPr>
          <w:p>
            <w:pPr>
              <w:widowControl/>
              <w:jc w:val="left"/>
              <w:rPr>
                <w:rFonts w:ascii="宋体" w:hAnsi="宋体" w:eastAsia="宋体" w:cs="宋体"/>
                <w:kern w:val="0"/>
                <w:sz w:val="22"/>
              </w:rPr>
            </w:pPr>
            <w:r>
              <w:rPr>
                <w:rFonts w:hint="eastAsia" w:ascii="宋体" w:hAnsi="宋体" w:eastAsia="宋体" w:cs="宋体"/>
                <w:kern w:val="0"/>
                <w:sz w:val="22"/>
              </w:rPr>
              <w:t>秦淮新河左岸西善桥至宁马高速桥段堤顶道路、迎背水坡坡面及附属设施维修工程</w:t>
            </w:r>
          </w:p>
        </w:tc>
        <w:tc>
          <w:tcPr>
            <w:tcW w:w="2126"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kern w:val="0"/>
                <w:sz w:val="24"/>
                <w:szCs w:val="24"/>
              </w:rPr>
              <w:t>395</w:t>
            </w:r>
          </w:p>
        </w:tc>
        <w:tc>
          <w:tcPr>
            <w:tcW w:w="2693" w:type="dxa"/>
            <w:tcBorders>
              <w:top w:val="nil"/>
              <w:left w:val="nil"/>
              <w:bottom w:val="single" w:color="auto" w:sz="4" w:space="0"/>
              <w:right w:val="single" w:color="auto" w:sz="4" w:space="0"/>
            </w:tcBorders>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kern w:val="0"/>
                <w:sz w:val="24"/>
                <w:szCs w:val="24"/>
              </w:rPr>
              <w:t>267</w:t>
            </w:r>
          </w:p>
        </w:tc>
        <w:tc>
          <w:tcPr>
            <w:tcW w:w="2998" w:type="dxa"/>
            <w:tcBorders>
              <w:top w:val="nil"/>
              <w:left w:val="nil"/>
              <w:bottom w:val="single" w:color="auto" w:sz="4" w:space="0"/>
              <w:right w:val="single" w:color="auto" w:sz="4" w:space="0"/>
            </w:tcBorders>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kern w:val="0"/>
                <w:sz w:val="24"/>
                <w:szCs w:val="24"/>
              </w:rPr>
              <w:t>128</w:t>
            </w:r>
          </w:p>
        </w:tc>
      </w:tr>
      <w:tr>
        <w:tblPrEx>
          <w:tblCellMar>
            <w:top w:w="0" w:type="dxa"/>
            <w:left w:w="108" w:type="dxa"/>
            <w:bottom w:w="0" w:type="dxa"/>
            <w:right w:w="108" w:type="dxa"/>
          </w:tblCellMar>
        </w:tblPrEx>
        <w:trPr>
          <w:trHeight w:val="396" w:hRule="atLeast"/>
          <w:jc w:val="center"/>
        </w:trPr>
        <w:tc>
          <w:tcPr>
            <w:tcW w:w="0" w:type="auto"/>
            <w:tcBorders>
              <w:top w:val="nil"/>
              <w:left w:val="single" w:color="auto" w:sz="4" w:space="0"/>
              <w:bottom w:val="single" w:color="auto" w:sz="4" w:space="0"/>
              <w:right w:val="single" w:color="auto" w:sz="4" w:space="0"/>
            </w:tcBorders>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3</w:t>
            </w:r>
          </w:p>
        </w:tc>
        <w:tc>
          <w:tcPr>
            <w:tcW w:w="2571"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市滁河河道管理处</w:t>
            </w:r>
          </w:p>
        </w:tc>
        <w:tc>
          <w:tcPr>
            <w:tcW w:w="3402" w:type="dxa"/>
            <w:tcBorders>
              <w:top w:val="nil"/>
              <w:left w:val="nil"/>
              <w:bottom w:val="single" w:color="auto" w:sz="4" w:space="0"/>
              <w:right w:val="single" w:color="auto" w:sz="4" w:space="0"/>
            </w:tcBorders>
            <w:vAlign w:val="center"/>
          </w:tcPr>
          <w:p>
            <w:pPr>
              <w:widowControl/>
              <w:jc w:val="left"/>
              <w:rPr>
                <w:rFonts w:ascii="宋体" w:hAnsi="宋体" w:eastAsia="宋体" w:cs="宋体"/>
                <w:kern w:val="0"/>
                <w:sz w:val="22"/>
              </w:rPr>
            </w:pPr>
            <w:r>
              <w:rPr>
                <w:rFonts w:hint="eastAsia" w:ascii="宋体" w:hAnsi="宋体" w:eastAsia="宋体" w:cs="宋体"/>
                <w:kern w:val="0"/>
                <w:sz w:val="22"/>
              </w:rPr>
              <w:t>市滁河河道管理2022年度市级水利工程维修项目</w:t>
            </w:r>
          </w:p>
        </w:tc>
        <w:tc>
          <w:tcPr>
            <w:tcW w:w="2126"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kern w:val="0"/>
                <w:sz w:val="24"/>
                <w:szCs w:val="24"/>
              </w:rPr>
              <w:t>385</w:t>
            </w:r>
          </w:p>
        </w:tc>
        <w:tc>
          <w:tcPr>
            <w:tcW w:w="2693" w:type="dxa"/>
            <w:tcBorders>
              <w:top w:val="nil"/>
              <w:left w:val="nil"/>
              <w:bottom w:val="single" w:color="auto" w:sz="4" w:space="0"/>
              <w:right w:val="single" w:color="auto" w:sz="4" w:space="0"/>
            </w:tcBorders>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kern w:val="0"/>
                <w:sz w:val="24"/>
                <w:szCs w:val="24"/>
              </w:rPr>
              <w:t>265</w:t>
            </w:r>
          </w:p>
        </w:tc>
        <w:tc>
          <w:tcPr>
            <w:tcW w:w="2998" w:type="dxa"/>
            <w:tcBorders>
              <w:top w:val="nil"/>
              <w:left w:val="nil"/>
              <w:bottom w:val="single" w:color="auto" w:sz="4" w:space="0"/>
              <w:right w:val="single" w:color="auto" w:sz="4" w:space="0"/>
            </w:tcBorders>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kern w:val="0"/>
                <w:sz w:val="24"/>
                <w:szCs w:val="24"/>
              </w:rPr>
              <w:t>120</w:t>
            </w:r>
          </w:p>
        </w:tc>
      </w:tr>
      <w:tr>
        <w:tblPrEx>
          <w:tblCellMar>
            <w:top w:w="0" w:type="dxa"/>
            <w:left w:w="108" w:type="dxa"/>
            <w:bottom w:w="0" w:type="dxa"/>
            <w:right w:w="108" w:type="dxa"/>
          </w:tblCellMar>
        </w:tblPrEx>
        <w:trPr>
          <w:trHeight w:val="270" w:hRule="atLeast"/>
          <w:jc w:val="center"/>
        </w:trPr>
        <w:tc>
          <w:tcPr>
            <w:tcW w:w="0" w:type="auto"/>
            <w:tcBorders>
              <w:top w:val="nil"/>
              <w:left w:val="single" w:color="auto" w:sz="4" w:space="0"/>
              <w:bottom w:val="single" w:color="auto" w:sz="4" w:space="0"/>
              <w:right w:val="single" w:color="auto" w:sz="4" w:space="0"/>
            </w:tcBorders>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4</w:t>
            </w:r>
          </w:p>
        </w:tc>
        <w:tc>
          <w:tcPr>
            <w:tcW w:w="2571"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市三汊河河口闸管理处</w:t>
            </w:r>
          </w:p>
        </w:tc>
        <w:tc>
          <w:tcPr>
            <w:tcW w:w="3402" w:type="dxa"/>
            <w:tcBorders>
              <w:top w:val="nil"/>
              <w:left w:val="nil"/>
              <w:bottom w:val="single" w:color="auto" w:sz="4" w:space="0"/>
              <w:right w:val="single" w:color="auto" w:sz="4" w:space="0"/>
            </w:tcBorders>
            <w:vAlign w:val="center"/>
          </w:tcPr>
          <w:p>
            <w:pPr>
              <w:widowControl/>
              <w:jc w:val="left"/>
              <w:rPr>
                <w:rFonts w:ascii="宋体" w:hAnsi="宋体" w:eastAsia="宋体" w:cs="宋体"/>
                <w:kern w:val="0"/>
                <w:sz w:val="22"/>
              </w:rPr>
            </w:pPr>
            <w:r>
              <w:rPr>
                <w:rFonts w:hint="eastAsia" w:ascii="宋体" w:hAnsi="宋体" w:eastAsia="宋体" w:cs="宋体"/>
                <w:kern w:val="0"/>
                <w:sz w:val="22"/>
              </w:rPr>
              <w:t>2022年三汊河河口闸配电房维修项目</w:t>
            </w:r>
          </w:p>
        </w:tc>
        <w:tc>
          <w:tcPr>
            <w:tcW w:w="2126"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kern w:val="0"/>
                <w:sz w:val="24"/>
                <w:szCs w:val="24"/>
              </w:rPr>
              <w:t>149</w:t>
            </w:r>
          </w:p>
        </w:tc>
        <w:tc>
          <w:tcPr>
            <w:tcW w:w="2693" w:type="dxa"/>
            <w:tcBorders>
              <w:top w:val="nil"/>
              <w:left w:val="nil"/>
              <w:bottom w:val="single" w:color="auto" w:sz="4" w:space="0"/>
              <w:right w:val="single" w:color="auto" w:sz="4" w:space="0"/>
            </w:tcBorders>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2998" w:type="dxa"/>
            <w:tcBorders>
              <w:top w:val="nil"/>
              <w:left w:val="nil"/>
              <w:bottom w:val="single" w:color="auto" w:sz="4" w:space="0"/>
              <w:right w:val="single" w:color="auto" w:sz="4" w:space="0"/>
            </w:tcBorders>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kern w:val="0"/>
                <w:sz w:val="24"/>
                <w:szCs w:val="24"/>
              </w:rPr>
              <w:t>49</w:t>
            </w:r>
          </w:p>
        </w:tc>
      </w:tr>
      <w:tr>
        <w:tblPrEx>
          <w:tblCellMar>
            <w:top w:w="0" w:type="dxa"/>
            <w:left w:w="108" w:type="dxa"/>
            <w:bottom w:w="0" w:type="dxa"/>
            <w:right w:w="108" w:type="dxa"/>
          </w:tblCellMar>
        </w:tblPrEx>
        <w:trPr>
          <w:trHeight w:val="270" w:hRule="atLeast"/>
          <w:jc w:val="center"/>
        </w:trPr>
        <w:tc>
          <w:tcPr>
            <w:tcW w:w="6629"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合计</w:t>
            </w:r>
          </w:p>
        </w:tc>
        <w:tc>
          <w:tcPr>
            <w:tcW w:w="2126"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ascii="宋体" w:hAnsi="宋体" w:eastAsia="宋体" w:cs="宋体"/>
                <w:color w:val="000000"/>
                <w:kern w:val="0"/>
                <w:sz w:val="22"/>
              </w:rPr>
            </w:pPr>
            <w:r>
              <w:rPr>
                <w:rFonts w:ascii="宋体" w:hAnsi="宋体" w:eastAsia="宋体" w:cs="宋体"/>
                <w:color w:val="000000"/>
                <w:kern w:val="0"/>
                <w:sz w:val="22"/>
              </w:rPr>
              <w:t>1379</w:t>
            </w:r>
          </w:p>
        </w:tc>
        <w:tc>
          <w:tcPr>
            <w:tcW w:w="2693" w:type="dxa"/>
            <w:tcBorders>
              <w:top w:val="nil"/>
              <w:left w:val="nil"/>
              <w:bottom w:val="single" w:color="auto" w:sz="4" w:space="0"/>
              <w:right w:val="single" w:color="auto" w:sz="4" w:space="0"/>
            </w:tcBorders>
            <w:noWrap/>
            <w:vAlign w:val="center"/>
          </w:tcPr>
          <w:p>
            <w:pPr>
              <w:widowControl/>
              <w:jc w:val="center"/>
              <w:textAlignment w:val="center"/>
              <w:rPr>
                <w:rFonts w:ascii="宋体" w:hAnsi="宋体" w:eastAsia="宋体" w:cs="宋体"/>
                <w:kern w:val="0"/>
                <w:sz w:val="24"/>
                <w:szCs w:val="24"/>
              </w:rPr>
            </w:pPr>
            <w:r>
              <w:rPr>
                <w:rFonts w:ascii="宋体" w:hAnsi="宋体" w:eastAsia="宋体" w:cs="宋体"/>
                <w:kern w:val="0"/>
                <w:sz w:val="24"/>
                <w:szCs w:val="24"/>
              </w:rPr>
              <w:t>935</w:t>
            </w:r>
          </w:p>
        </w:tc>
        <w:tc>
          <w:tcPr>
            <w:tcW w:w="2998" w:type="dxa"/>
            <w:tcBorders>
              <w:top w:val="nil"/>
              <w:left w:val="nil"/>
              <w:bottom w:val="single" w:color="auto" w:sz="4" w:space="0"/>
              <w:right w:val="single" w:color="auto" w:sz="4" w:space="0"/>
            </w:tcBorders>
            <w:noWrap/>
            <w:vAlign w:val="center"/>
          </w:tcPr>
          <w:p>
            <w:pPr>
              <w:jc w:val="center"/>
              <w:textAlignment w:val="center"/>
              <w:rPr>
                <w:rFonts w:ascii="宋体" w:hAnsi="宋体" w:eastAsia="宋体" w:cs="宋体"/>
                <w:kern w:val="0"/>
                <w:sz w:val="24"/>
                <w:szCs w:val="24"/>
              </w:rPr>
            </w:pPr>
            <w:r>
              <w:rPr>
                <w:rFonts w:ascii="宋体" w:hAnsi="宋体" w:eastAsia="宋体" w:cs="宋体"/>
                <w:kern w:val="0"/>
                <w:sz w:val="24"/>
                <w:szCs w:val="24"/>
              </w:rPr>
              <w:t>444</w:t>
            </w:r>
          </w:p>
        </w:tc>
      </w:tr>
    </w:tbl>
    <w:p>
      <w:pPr>
        <w:widowControl/>
        <w:spacing w:line="560" w:lineRule="exact"/>
        <w:rPr>
          <w:rFonts w:eastAsia="仿宋_GB2312"/>
          <w:sz w:val="32"/>
          <w:szCs w:val="32"/>
        </w:rPr>
      </w:pPr>
    </w:p>
    <w:p>
      <w:pPr>
        <w:pStyle w:val="2"/>
        <w:sectPr>
          <w:pgSz w:w="16838" w:h="11906" w:orient="landscape"/>
          <w:pgMar w:top="1797" w:right="1440" w:bottom="1797" w:left="1440" w:header="851" w:footer="992" w:gutter="0"/>
          <w:cols w:space="425" w:num="1"/>
          <w:docGrid w:type="linesAndChars" w:linePitch="312" w:charSpace="0"/>
        </w:sectPr>
      </w:pPr>
    </w:p>
    <w:p>
      <w:pPr>
        <w:widowControl/>
        <w:spacing w:line="560" w:lineRule="exact"/>
        <w:ind w:firstLine="640" w:firstLineChars="200"/>
        <w:rPr>
          <w:rFonts w:eastAsia="仿宋_GB2312"/>
          <w:sz w:val="32"/>
          <w:szCs w:val="32"/>
        </w:rPr>
      </w:pPr>
      <w:r>
        <w:rPr>
          <w:rFonts w:eastAsia="仿宋_GB2312"/>
          <w:sz w:val="32"/>
          <w:szCs w:val="32"/>
        </w:rPr>
        <w:t>202</w:t>
      </w:r>
      <w:r>
        <w:rPr>
          <w:rFonts w:hint="eastAsia" w:eastAsia="仿宋_GB2312"/>
          <w:sz w:val="32"/>
          <w:szCs w:val="32"/>
          <w:lang w:val="en-US" w:eastAsia="zh-CN"/>
        </w:rPr>
        <w:t>2</w:t>
      </w:r>
      <w:r>
        <w:rPr>
          <w:rFonts w:eastAsia="仿宋_GB2312"/>
          <w:sz w:val="32"/>
          <w:szCs w:val="32"/>
        </w:rPr>
        <w:t>年</w:t>
      </w:r>
      <w:r>
        <w:rPr>
          <w:rFonts w:hint="eastAsia" w:eastAsia="仿宋_GB2312"/>
          <w:sz w:val="32"/>
          <w:szCs w:val="32"/>
          <w:lang w:val="en-US" w:eastAsia="zh-CN"/>
        </w:rPr>
        <w:t>8</w:t>
      </w:r>
      <w:r>
        <w:rPr>
          <w:rFonts w:eastAsia="仿宋_GB2312"/>
          <w:sz w:val="32"/>
          <w:szCs w:val="32"/>
        </w:rPr>
        <w:t>月，南京市水务局以《</w:t>
      </w:r>
      <w:r>
        <w:rPr>
          <w:rFonts w:hint="eastAsia" w:eastAsia="仿宋_GB2312"/>
          <w:sz w:val="32"/>
          <w:szCs w:val="32"/>
        </w:rPr>
        <w:t>关于下达南京市202</w:t>
      </w:r>
      <w:r>
        <w:rPr>
          <w:rFonts w:eastAsia="仿宋_GB2312"/>
          <w:sz w:val="32"/>
          <w:szCs w:val="32"/>
        </w:rPr>
        <w:t>2</w:t>
      </w:r>
      <w:r>
        <w:rPr>
          <w:rFonts w:hint="eastAsia" w:eastAsia="仿宋_GB2312"/>
          <w:sz w:val="32"/>
          <w:szCs w:val="32"/>
        </w:rPr>
        <w:t>年度市级水利工程维修项目经费的通知</w:t>
      </w:r>
      <w:r>
        <w:rPr>
          <w:rFonts w:eastAsia="仿宋_GB2312"/>
          <w:sz w:val="32"/>
          <w:szCs w:val="32"/>
        </w:rPr>
        <w:t>》（</w:t>
      </w:r>
      <w:r>
        <w:rPr>
          <w:rFonts w:ascii="Times New Roman" w:hAnsi="Times New Roman" w:eastAsia="仿宋_GB2312" w:cs="Times New Roman"/>
          <w:sz w:val="32"/>
          <w:szCs w:val="32"/>
        </w:rPr>
        <w:t>宁水</w:t>
      </w:r>
      <w:r>
        <w:rPr>
          <w:rFonts w:hint="eastAsia" w:ascii="Times New Roman" w:hAnsi="Times New Roman" w:eastAsia="仿宋_GB2312" w:cs="Times New Roman"/>
          <w:sz w:val="32"/>
          <w:szCs w:val="32"/>
        </w:rPr>
        <w:t>河湖</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374</w:t>
      </w:r>
      <w:r>
        <w:rPr>
          <w:rFonts w:ascii="Times New Roman" w:hAnsi="Times New Roman" w:eastAsia="仿宋_GB2312" w:cs="Times New Roman"/>
          <w:sz w:val="32"/>
          <w:szCs w:val="32"/>
        </w:rPr>
        <w:t>号</w:t>
      </w:r>
      <w:r>
        <w:rPr>
          <w:rFonts w:eastAsia="仿宋_GB2312"/>
          <w:sz w:val="32"/>
          <w:szCs w:val="32"/>
        </w:rPr>
        <w:t>）下达市管水利工程</w:t>
      </w:r>
      <w:r>
        <w:rPr>
          <w:rFonts w:hint="eastAsia" w:eastAsia="仿宋_GB2312"/>
          <w:sz w:val="32"/>
          <w:szCs w:val="32"/>
        </w:rPr>
        <w:t>维修</w:t>
      </w:r>
      <w:r>
        <w:rPr>
          <w:rFonts w:eastAsia="仿宋_GB2312"/>
          <w:sz w:val="32"/>
          <w:szCs w:val="32"/>
        </w:rPr>
        <w:t>经费</w:t>
      </w:r>
      <w:r>
        <w:rPr>
          <w:rFonts w:hint="eastAsia" w:eastAsia="仿宋_GB2312"/>
          <w:sz w:val="32"/>
          <w:szCs w:val="32"/>
          <w:lang w:val="en-US" w:eastAsia="zh-CN"/>
        </w:rPr>
        <w:t>1379</w:t>
      </w:r>
      <w:r>
        <w:rPr>
          <w:rFonts w:hint="eastAsia" w:eastAsia="仿宋_GB2312"/>
          <w:sz w:val="32"/>
          <w:szCs w:val="32"/>
        </w:rPr>
        <w:t>万元</w:t>
      </w:r>
      <w:r>
        <w:rPr>
          <w:rFonts w:eastAsia="仿宋_GB2312"/>
          <w:sz w:val="32"/>
          <w:szCs w:val="32"/>
        </w:rPr>
        <w:t>。</w:t>
      </w:r>
    </w:p>
    <w:p>
      <w:pPr>
        <w:widowControl/>
        <w:spacing w:line="560" w:lineRule="exact"/>
        <w:ind w:firstLine="640" w:firstLineChars="200"/>
        <w:rPr>
          <w:rFonts w:eastAsia="仿宋_GB2312"/>
          <w:sz w:val="32"/>
          <w:szCs w:val="32"/>
        </w:rPr>
      </w:pPr>
      <w:r>
        <w:rPr>
          <w:rFonts w:eastAsia="仿宋_GB2312"/>
          <w:sz w:val="32"/>
          <w:szCs w:val="32"/>
        </w:rPr>
        <w:t>经费使用情况：在资金使用管理方面各河道管理处建立了完善的财务管理制度，严格费用支出。</w:t>
      </w:r>
    </w:p>
    <w:p>
      <w:pPr>
        <w:widowControl/>
        <w:spacing w:line="560" w:lineRule="exact"/>
        <w:ind w:firstLine="640" w:firstLineChars="200"/>
        <w:rPr>
          <w:rFonts w:eastAsia="仿宋_GB2312"/>
          <w:sz w:val="32"/>
          <w:szCs w:val="32"/>
        </w:rPr>
      </w:pPr>
      <w:r>
        <w:rPr>
          <w:rFonts w:eastAsia="仿宋_GB2312"/>
          <w:sz w:val="32"/>
          <w:szCs w:val="32"/>
        </w:rPr>
        <w:t>投资控制措施如下：一是根据下达经费实行单项投资控制，费用支出对照经费下达批文执行；二是通过公开、公平、公正的招标，通过合理的市场竞争价，有效地控制了单项投资；三是严格管理费用支出。通过有效的财务管理和投资控制手段，最终较好地控制了项目投资。</w:t>
      </w:r>
    </w:p>
    <w:p>
      <w:pPr>
        <w:widowControl/>
        <w:spacing w:line="560" w:lineRule="exact"/>
        <w:ind w:firstLine="640" w:firstLineChars="200"/>
        <w:rPr>
          <w:rFonts w:eastAsia="仿宋_GB2312"/>
          <w:sz w:val="32"/>
          <w:szCs w:val="32"/>
        </w:rPr>
      </w:pPr>
      <w:r>
        <w:rPr>
          <w:rFonts w:eastAsia="仿宋_GB2312"/>
          <w:sz w:val="32"/>
          <w:szCs w:val="32"/>
        </w:rPr>
        <w:t>通过有效的财务管理和资金控制手段，全年经费支付顺利。</w:t>
      </w:r>
    </w:p>
    <w:p>
      <w:pPr>
        <w:widowControl/>
        <w:spacing w:line="560" w:lineRule="exact"/>
        <w:ind w:firstLine="640" w:firstLineChars="200"/>
        <w:rPr>
          <w:rFonts w:eastAsia="仿宋_GB2312"/>
          <w:sz w:val="32"/>
          <w:szCs w:val="32"/>
        </w:rPr>
      </w:pPr>
      <w:r>
        <w:rPr>
          <w:rFonts w:eastAsia="仿宋_GB2312"/>
          <w:sz w:val="32"/>
          <w:szCs w:val="32"/>
        </w:rPr>
        <w:t>（三）绩效目标</w:t>
      </w:r>
    </w:p>
    <w:p>
      <w:pPr>
        <w:widowControl/>
        <w:spacing w:line="560" w:lineRule="exact"/>
        <w:ind w:firstLine="640" w:firstLineChars="200"/>
        <w:rPr>
          <w:rFonts w:eastAsia="仿宋_GB2312"/>
          <w:sz w:val="32"/>
          <w:szCs w:val="32"/>
        </w:rPr>
      </w:pPr>
      <w:r>
        <w:rPr>
          <w:rFonts w:eastAsia="仿宋_GB2312"/>
          <w:sz w:val="32"/>
          <w:szCs w:val="32"/>
        </w:rPr>
        <w:t>1.绩效总目标</w:t>
      </w:r>
    </w:p>
    <w:p>
      <w:pPr>
        <w:widowControl/>
        <w:spacing w:line="560" w:lineRule="exact"/>
        <w:ind w:firstLine="640" w:firstLineChars="200"/>
        <w:rPr>
          <w:rFonts w:eastAsia="仿宋_GB2312"/>
          <w:sz w:val="32"/>
          <w:szCs w:val="32"/>
        </w:rPr>
      </w:pPr>
      <w:r>
        <w:rPr>
          <w:rFonts w:hint="eastAsia" w:eastAsia="仿宋_GB2312"/>
          <w:sz w:val="32"/>
          <w:szCs w:val="32"/>
        </w:rPr>
        <w:t>通过对长江南京段、外秦淮河、秦淮新河、马汊河和三汊河河口闸等市直管工程实施年度水利工程维修，加强对堤防、水闸等水利工程的安全运行管理，通过工程实施，做到养护规范，管理有序，确保河道工程完好、设施完善、河道整洁、环境优美；对堤防进行经常养护和防护，及时处理表面缺损，保持堤坡平顺等。</w:t>
      </w:r>
    </w:p>
    <w:p>
      <w:pPr>
        <w:widowControl/>
        <w:spacing w:line="560" w:lineRule="exact"/>
        <w:ind w:firstLine="640" w:firstLineChars="200"/>
        <w:rPr>
          <w:rFonts w:eastAsia="仿宋_GB2312"/>
          <w:sz w:val="32"/>
          <w:szCs w:val="32"/>
        </w:rPr>
      </w:pPr>
      <w:r>
        <w:rPr>
          <w:rFonts w:hint="eastAsia" w:eastAsia="仿宋_GB2312"/>
          <w:sz w:val="32"/>
          <w:szCs w:val="32"/>
        </w:rPr>
        <w:t>针对市管河道堤防出现的护坡及防汛道路损坏，存在防汛安全隐患的情况，修复坏损的挡墙、护坡及防汛道路等。</w:t>
      </w:r>
    </w:p>
    <w:p>
      <w:pPr>
        <w:widowControl/>
        <w:spacing w:line="560" w:lineRule="exact"/>
        <w:ind w:firstLine="640" w:firstLineChars="200"/>
        <w:rPr>
          <w:rFonts w:eastAsia="仿宋_GB2312"/>
          <w:sz w:val="32"/>
          <w:szCs w:val="32"/>
        </w:rPr>
      </w:pPr>
      <w:r>
        <w:rPr>
          <w:rFonts w:eastAsia="仿宋_GB2312"/>
          <w:sz w:val="32"/>
          <w:szCs w:val="32"/>
        </w:rPr>
        <w:t>通过本次绩效评价，加强本项目的财政资金管理，强化各级财政、水利部门财政支出管理意识，提高各级财政资金使用效率，发现总结工程设施维修服务管理中的薄弱环节和成功经验，进一步提高建设管理水平。</w:t>
      </w:r>
    </w:p>
    <w:p>
      <w:pPr>
        <w:widowControl/>
        <w:spacing w:line="560" w:lineRule="exact"/>
        <w:ind w:firstLine="640" w:firstLineChars="200"/>
        <w:rPr>
          <w:rFonts w:eastAsia="仿宋_GB2312"/>
          <w:sz w:val="32"/>
          <w:szCs w:val="32"/>
        </w:rPr>
      </w:pPr>
      <w:r>
        <w:rPr>
          <w:rFonts w:eastAsia="仿宋_GB2312"/>
          <w:sz w:val="32"/>
          <w:szCs w:val="32"/>
        </w:rPr>
        <w:t>2.绩效年度目标</w:t>
      </w:r>
    </w:p>
    <w:p>
      <w:pPr>
        <w:widowControl/>
        <w:spacing w:line="560" w:lineRule="exact"/>
        <w:ind w:firstLine="640" w:firstLineChars="200"/>
        <w:rPr>
          <w:rFonts w:eastAsia="仿宋_GB2312"/>
          <w:sz w:val="32"/>
          <w:szCs w:val="32"/>
        </w:rPr>
      </w:pPr>
      <w:r>
        <w:rPr>
          <w:rFonts w:hint="eastAsia" w:eastAsia="仿宋_GB2312"/>
          <w:sz w:val="32"/>
          <w:szCs w:val="32"/>
        </w:rPr>
        <w:t>根据《江苏省水利工程管理条例》、《堤防工程管理设计规范》、《南京市市管河道堤防养护内容及标准》等，推进开展长江堤防、秦淮河堤防、马汊河堤防、三汊河口闸维修工程，通过维修工程的有序进行及验收，将维护长江148公里、秦淮河、秦淮新河45公里、马汊河27公里河道堤防道路畅通，护坡整洁，保障河道行洪能力，改善河道面貌，提升南京乃至南京水利工程新形象。</w:t>
      </w:r>
    </w:p>
    <w:p>
      <w:pPr>
        <w:widowControl/>
        <w:spacing w:line="560" w:lineRule="exact"/>
        <w:ind w:firstLine="640" w:firstLineChars="200"/>
        <w:rPr>
          <w:rFonts w:eastAsia="黑体"/>
          <w:color w:val="000000"/>
          <w:kern w:val="0"/>
          <w:sz w:val="32"/>
          <w:szCs w:val="32"/>
        </w:rPr>
      </w:pPr>
      <w:r>
        <w:rPr>
          <w:rFonts w:eastAsia="黑体"/>
          <w:color w:val="000000"/>
          <w:kern w:val="0"/>
          <w:sz w:val="32"/>
          <w:szCs w:val="32"/>
        </w:rPr>
        <w:t>二、评价结论</w:t>
      </w:r>
    </w:p>
    <w:p>
      <w:pPr>
        <w:widowControl/>
        <w:spacing w:line="560" w:lineRule="exact"/>
        <w:ind w:firstLine="640" w:firstLineChars="200"/>
        <w:rPr>
          <w:rFonts w:eastAsia="仿宋_GB2312"/>
          <w:sz w:val="32"/>
          <w:szCs w:val="32"/>
        </w:rPr>
      </w:pPr>
      <w:r>
        <w:rPr>
          <w:rFonts w:eastAsia="仿宋_GB2312"/>
          <w:sz w:val="32"/>
          <w:szCs w:val="32"/>
        </w:rPr>
        <w:t>本次绩效评价遵循的原则：公开公正原则、科学规范原则、客观性原则、突出重点原则、绩效相关原则。本次绩效评价根据市财政局《南京市级财政预算绩效管理办法》及相关规定。采用目标比较法、公众评价法、实地调研法、定性与定量相结合的方法。</w:t>
      </w:r>
    </w:p>
    <w:p>
      <w:pPr>
        <w:widowControl/>
        <w:spacing w:line="560" w:lineRule="exact"/>
        <w:ind w:firstLine="640" w:firstLineChars="200"/>
        <w:rPr>
          <w:rFonts w:eastAsia="仿宋_GB2312"/>
          <w:sz w:val="32"/>
          <w:szCs w:val="32"/>
        </w:rPr>
      </w:pPr>
      <w:r>
        <w:rPr>
          <w:rFonts w:eastAsia="仿宋_GB2312"/>
          <w:sz w:val="32"/>
          <w:szCs w:val="32"/>
        </w:rPr>
        <w:t>评价的对象</w:t>
      </w:r>
      <w:r>
        <w:rPr>
          <w:rFonts w:hint="eastAsia" w:eastAsia="仿宋_GB2312"/>
          <w:sz w:val="32"/>
          <w:szCs w:val="32"/>
        </w:rPr>
        <w:t>、范围</w:t>
      </w:r>
      <w:r>
        <w:rPr>
          <w:rFonts w:eastAsia="仿宋_GB2312"/>
          <w:sz w:val="32"/>
          <w:szCs w:val="32"/>
        </w:rPr>
        <w:t>：《</w:t>
      </w:r>
      <w:r>
        <w:rPr>
          <w:rFonts w:hint="eastAsia" w:eastAsia="仿宋_GB2312"/>
          <w:sz w:val="32"/>
          <w:szCs w:val="32"/>
        </w:rPr>
        <w:t>关于下达南京市202</w:t>
      </w:r>
      <w:r>
        <w:rPr>
          <w:rFonts w:eastAsia="仿宋_GB2312"/>
          <w:sz w:val="32"/>
          <w:szCs w:val="32"/>
        </w:rPr>
        <w:t>2</w:t>
      </w:r>
      <w:r>
        <w:rPr>
          <w:rFonts w:hint="eastAsia" w:eastAsia="仿宋_GB2312"/>
          <w:sz w:val="32"/>
          <w:szCs w:val="32"/>
        </w:rPr>
        <w:t>年度市级水利工程维修项目经费的通知</w:t>
      </w:r>
      <w:r>
        <w:rPr>
          <w:rFonts w:eastAsia="仿宋_GB2312"/>
          <w:sz w:val="32"/>
          <w:szCs w:val="32"/>
        </w:rPr>
        <w:t>》（</w:t>
      </w:r>
      <w:r>
        <w:rPr>
          <w:rFonts w:ascii="Times New Roman" w:hAnsi="Times New Roman" w:eastAsia="仿宋_GB2312" w:cs="Times New Roman"/>
          <w:sz w:val="32"/>
          <w:szCs w:val="32"/>
        </w:rPr>
        <w:t>宁水</w:t>
      </w:r>
      <w:r>
        <w:rPr>
          <w:rFonts w:hint="eastAsia" w:ascii="Times New Roman" w:hAnsi="Times New Roman" w:eastAsia="仿宋_GB2312" w:cs="Times New Roman"/>
          <w:sz w:val="32"/>
          <w:szCs w:val="32"/>
        </w:rPr>
        <w:t>河湖</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374</w:t>
      </w:r>
      <w:r>
        <w:rPr>
          <w:rFonts w:ascii="Times New Roman" w:hAnsi="Times New Roman" w:eastAsia="仿宋_GB2312" w:cs="Times New Roman"/>
          <w:sz w:val="32"/>
          <w:szCs w:val="32"/>
        </w:rPr>
        <w:t>号</w:t>
      </w:r>
      <w:r>
        <w:rPr>
          <w:rFonts w:eastAsia="仿宋_GB2312"/>
          <w:sz w:val="32"/>
          <w:szCs w:val="32"/>
        </w:rPr>
        <w:t>）中明确</w:t>
      </w:r>
      <w:r>
        <w:rPr>
          <w:rFonts w:hint="eastAsia" w:eastAsia="仿宋_GB2312"/>
          <w:sz w:val="32"/>
          <w:szCs w:val="32"/>
        </w:rPr>
        <w:t>四个局属管理处维修</w:t>
      </w:r>
      <w:r>
        <w:rPr>
          <w:rFonts w:eastAsia="仿宋_GB2312"/>
          <w:sz w:val="32"/>
          <w:szCs w:val="32"/>
        </w:rPr>
        <w:t>项目</w:t>
      </w:r>
      <w:r>
        <w:rPr>
          <w:rFonts w:hint="eastAsia" w:eastAsia="仿宋_GB2312"/>
          <w:sz w:val="32"/>
          <w:szCs w:val="32"/>
        </w:rPr>
        <w:t>工程实施情况。</w:t>
      </w:r>
    </w:p>
    <w:p>
      <w:pPr>
        <w:widowControl/>
        <w:spacing w:line="560" w:lineRule="exact"/>
        <w:ind w:firstLine="640" w:firstLineChars="200"/>
        <w:rPr>
          <w:rFonts w:eastAsia="仿宋_GB2312"/>
          <w:color w:val="auto"/>
          <w:sz w:val="32"/>
          <w:szCs w:val="32"/>
        </w:rPr>
      </w:pPr>
      <w:r>
        <w:rPr>
          <w:rFonts w:eastAsia="仿宋_GB2312"/>
          <w:color w:val="auto"/>
          <w:sz w:val="32"/>
          <w:szCs w:val="32"/>
        </w:rPr>
        <w:t>评价结论：</w:t>
      </w:r>
    </w:p>
    <w:p>
      <w:pPr>
        <w:widowControl/>
        <w:spacing w:line="560" w:lineRule="exact"/>
        <w:ind w:firstLine="640" w:firstLineChars="200"/>
        <w:rPr>
          <w:rFonts w:hint="eastAsia" w:eastAsia="仿宋_GB2312"/>
          <w:color w:val="auto"/>
          <w:sz w:val="32"/>
          <w:szCs w:val="32"/>
        </w:rPr>
      </w:pPr>
      <w:r>
        <w:rPr>
          <w:rFonts w:hint="eastAsia" w:eastAsia="仿宋_GB2312"/>
          <w:color w:val="auto"/>
          <w:sz w:val="32"/>
          <w:szCs w:val="32"/>
        </w:rPr>
        <w:t>市三汊河河道管理处：项目按时签订了各项合同，及时按进度进行了付款，手续合规。本项目经过公开招标后于2022年10月14日与南京通瑞水利建设工程有限公司签订施工合同。监理方2022年11月2日开出开工令，2022年11月2日施工单位即组织进场，2022年11月23日工程完工。2023年5月6日，审计单位出具审计报告。</w:t>
      </w:r>
    </w:p>
    <w:p>
      <w:pPr>
        <w:widowControl/>
        <w:spacing w:line="560" w:lineRule="exact"/>
        <w:ind w:firstLine="640" w:firstLineChars="200"/>
        <w:rPr>
          <w:rFonts w:hint="eastAsia" w:eastAsia="仿宋_GB2312"/>
          <w:color w:val="auto"/>
          <w:sz w:val="32"/>
          <w:szCs w:val="32"/>
        </w:rPr>
      </w:pPr>
      <w:r>
        <w:rPr>
          <w:rFonts w:hint="eastAsia" w:eastAsia="仿宋_GB2312"/>
          <w:color w:val="auto"/>
          <w:sz w:val="32"/>
          <w:szCs w:val="32"/>
        </w:rPr>
        <w:t>市滁河河道管理处：项目委托南京水投项目管理有限公司代理勘察设计招标工作，5月16日发布成交公告，成交单位为南京市水利规划设计院股份有限公司，成交价为批复概算的97.8%。委托江苏苏盛工程造价咨询有限公司组织监理施工招标。9月9日发布工程监理成交公告，中标单位为江苏恒逸源工程项目管理有限公司，成交价为15.8万。9月28日发布工程施工成交公告，中标单位为如东县水利电力建筑工程有限责任公司，成交价为345.397575万。工程2022年10月8日开工，2022年11月28日完工。工程完成批复内容，施工监理过程资料齐全，目前正进行审计。</w:t>
      </w:r>
    </w:p>
    <w:p>
      <w:pPr>
        <w:widowControl/>
        <w:spacing w:line="560" w:lineRule="exact"/>
        <w:ind w:firstLine="640" w:firstLineChars="200"/>
        <w:rPr>
          <w:rFonts w:hint="eastAsia" w:eastAsia="仿宋_GB2312"/>
          <w:color w:val="auto"/>
          <w:sz w:val="32"/>
          <w:szCs w:val="32"/>
        </w:rPr>
      </w:pPr>
      <w:r>
        <w:rPr>
          <w:rFonts w:hint="eastAsia" w:eastAsia="仿宋_GB2312"/>
          <w:color w:val="auto"/>
          <w:sz w:val="32"/>
          <w:szCs w:val="32"/>
        </w:rPr>
        <w:t>市长江河道管理处：项目分别于2022年4月和8月与南京江城工程项目管理有限公司签订政府采购招标代理协议和建设项目招标代理协议，由其代理设计、监理和施工招标工作。设计于2022年5月17日开标，中标单位为南京市水利规划设计院股份有限公司，中标费率为96%。施工于2022年11月2号开标，中标单位为江苏润邮水利建设集团有限公司，中标价400.218468万元。监理于2022年10月31号开标，中标单位为江苏淮源工程建设监理有限公司，中标价为19万元。本工程自2022年11月11日开工，2022年12月25日完工。工程基本完成批复内容，施工监理过程资料齐全，正在准备报审资料，项目绩效目标基本达到。</w:t>
      </w:r>
    </w:p>
    <w:p>
      <w:pPr>
        <w:widowControl/>
        <w:spacing w:line="560" w:lineRule="exact"/>
        <w:ind w:firstLine="640" w:firstLineChars="200"/>
        <w:rPr>
          <w:rFonts w:hint="eastAsia" w:eastAsia="仿宋_GB2312"/>
          <w:color w:val="auto"/>
          <w:sz w:val="32"/>
          <w:szCs w:val="32"/>
        </w:rPr>
      </w:pPr>
      <w:r>
        <w:rPr>
          <w:rFonts w:hint="eastAsia" w:eastAsia="仿宋_GB2312"/>
          <w:color w:val="auto"/>
          <w:sz w:val="32"/>
          <w:szCs w:val="32"/>
        </w:rPr>
        <w:t>市秦淮河河道管理处：项目于2022年4月委托南京水投项目管理有限公司开展勘测设计招标工作，2022年4月29日确定南京市水利规划设计院股份有限公司中标，成交费率98.5%。2022年8月委托江苏中润工程建设咨询有限公司在南京公共采购信息网开展施工及监理招标工作，2022年9月5日，确定施工中标单位为中翀建设有限公司，中标价格333.465660万元；确定监理中标单位为南京市水利规划设计院股份有限公司，中标价格16.5万元。工程于2022年10月1日开工，2023年2月16日完工，2023年3月10日完工验收。工程基本完成批复内容，施工监理过程资料齐全，目前正进行审计，项目绩效目标基本达到。</w:t>
      </w:r>
    </w:p>
    <w:p>
      <w:pPr>
        <w:widowControl/>
        <w:spacing w:line="560" w:lineRule="exact"/>
        <w:ind w:firstLine="640" w:firstLineChars="200"/>
        <w:rPr>
          <w:rFonts w:eastAsia="仿宋_GB2312"/>
          <w:sz w:val="32"/>
          <w:szCs w:val="32"/>
        </w:rPr>
      </w:pPr>
      <w:r>
        <w:rPr>
          <w:rFonts w:eastAsia="仿宋_GB2312"/>
          <w:sz w:val="32"/>
          <w:szCs w:val="32"/>
        </w:rPr>
        <w:t>对照相关要求，我局开展了202</w:t>
      </w:r>
      <w:r>
        <w:rPr>
          <w:rFonts w:hint="eastAsia" w:eastAsia="仿宋_GB2312"/>
          <w:sz w:val="32"/>
          <w:szCs w:val="32"/>
          <w:lang w:val="en-US" w:eastAsia="zh-CN"/>
        </w:rPr>
        <w:t>2</w:t>
      </w:r>
      <w:r>
        <w:rPr>
          <w:rFonts w:eastAsia="仿宋_GB2312"/>
          <w:sz w:val="32"/>
          <w:szCs w:val="32"/>
        </w:rPr>
        <w:t>年度市管水利工程</w:t>
      </w:r>
      <w:r>
        <w:rPr>
          <w:rFonts w:hint="eastAsia" w:eastAsia="仿宋_GB2312"/>
          <w:sz w:val="32"/>
          <w:szCs w:val="32"/>
        </w:rPr>
        <w:t>维修</w:t>
      </w:r>
      <w:r>
        <w:rPr>
          <w:rFonts w:eastAsia="仿宋_GB2312"/>
          <w:sz w:val="32"/>
          <w:szCs w:val="32"/>
        </w:rPr>
        <w:t>项目绩效评价工作。对照项目绩效评价方案、评价指标体系，对搜集到的数据与资料进行统计、分析、审核，形成项目基本评价信息，从项目投入、过程、产出、效果四个维度对项目执行情况及绩效目标完成情况进行客观的分析和评价，最终形成项目绩效评价结果和报告。</w:t>
      </w:r>
    </w:p>
    <w:p>
      <w:pPr>
        <w:widowControl/>
        <w:spacing w:line="560" w:lineRule="exact"/>
        <w:ind w:firstLine="640" w:firstLineChars="200"/>
        <w:rPr>
          <w:rFonts w:eastAsia="仿宋_GB2312"/>
          <w:sz w:val="32"/>
          <w:szCs w:val="32"/>
        </w:rPr>
      </w:pPr>
      <w:r>
        <w:rPr>
          <w:rFonts w:eastAsia="仿宋_GB2312"/>
          <w:sz w:val="32"/>
          <w:szCs w:val="32"/>
        </w:rPr>
        <w:t>1.资金使用及管理情况分析</w:t>
      </w:r>
    </w:p>
    <w:p>
      <w:pPr>
        <w:widowControl/>
        <w:spacing w:line="560" w:lineRule="exact"/>
        <w:ind w:firstLine="640" w:firstLineChars="200"/>
        <w:rPr>
          <w:rFonts w:eastAsia="仿宋_GB2312"/>
          <w:sz w:val="32"/>
          <w:szCs w:val="32"/>
        </w:rPr>
      </w:pPr>
      <w:r>
        <w:rPr>
          <w:rFonts w:eastAsia="仿宋_GB2312"/>
          <w:sz w:val="32"/>
          <w:szCs w:val="32"/>
        </w:rPr>
        <w:t>资金使用管理符合财务管理规定。项目价款核算规范，无截留、挤占、挪用、虚列支出等情况。严格制定了财务管理制度，建设单位会计核算执行《国有建设单位会计制度》。开设了工程项目资金账户，单独建账核算，专款专用。按时上报上级部门财务报表。</w:t>
      </w:r>
    </w:p>
    <w:p>
      <w:pPr>
        <w:widowControl/>
        <w:spacing w:line="560" w:lineRule="exact"/>
        <w:ind w:firstLine="640" w:firstLineChars="200"/>
        <w:rPr>
          <w:rFonts w:eastAsia="仿宋_GB2312"/>
          <w:sz w:val="32"/>
          <w:szCs w:val="32"/>
        </w:rPr>
      </w:pPr>
      <w:r>
        <w:rPr>
          <w:rFonts w:eastAsia="仿宋_GB2312"/>
          <w:sz w:val="32"/>
          <w:szCs w:val="32"/>
        </w:rPr>
        <w:t>2.项目组织情况分析</w:t>
      </w:r>
    </w:p>
    <w:p>
      <w:pPr>
        <w:widowControl/>
        <w:spacing w:line="560" w:lineRule="exact"/>
        <w:ind w:firstLine="640" w:firstLineChars="200"/>
        <w:rPr>
          <w:rFonts w:eastAsia="仿宋_GB2312"/>
          <w:sz w:val="32"/>
          <w:szCs w:val="32"/>
        </w:rPr>
      </w:pPr>
      <w:r>
        <w:rPr>
          <w:rFonts w:eastAsia="仿宋_GB2312"/>
          <w:sz w:val="32"/>
          <w:szCs w:val="32"/>
        </w:rPr>
        <w:t>该项目由各河道管理处采用公开招标方式，最终确定了项目中标单位，并签订合同。</w:t>
      </w:r>
    </w:p>
    <w:p>
      <w:pPr>
        <w:widowControl/>
        <w:spacing w:line="560" w:lineRule="exact"/>
        <w:ind w:firstLine="640" w:firstLineChars="200"/>
        <w:rPr>
          <w:rFonts w:eastAsia="仿宋_GB2312"/>
          <w:sz w:val="32"/>
          <w:szCs w:val="32"/>
        </w:rPr>
      </w:pPr>
      <w:r>
        <w:rPr>
          <w:rFonts w:eastAsia="仿宋_GB2312"/>
          <w:sz w:val="32"/>
          <w:szCs w:val="32"/>
        </w:rPr>
        <w:t>项目建设工程量完成</w:t>
      </w:r>
      <w:r>
        <w:rPr>
          <w:rFonts w:hint="eastAsia" w:eastAsia="仿宋_GB2312"/>
          <w:sz w:val="32"/>
          <w:szCs w:val="32"/>
        </w:rPr>
        <w:t>情况</w:t>
      </w:r>
      <w:r>
        <w:rPr>
          <w:rFonts w:eastAsia="仿宋_GB2312"/>
          <w:sz w:val="32"/>
          <w:szCs w:val="32"/>
        </w:rPr>
        <w:t>：202</w:t>
      </w:r>
      <w:r>
        <w:rPr>
          <w:rFonts w:hint="eastAsia" w:eastAsia="仿宋_GB2312"/>
          <w:sz w:val="32"/>
          <w:szCs w:val="32"/>
          <w:lang w:val="en-US" w:eastAsia="zh-CN"/>
        </w:rPr>
        <w:t>2</w:t>
      </w:r>
      <w:r>
        <w:rPr>
          <w:rFonts w:eastAsia="仿宋_GB2312"/>
          <w:sz w:val="32"/>
          <w:szCs w:val="32"/>
        </w:rPr>
        <w:t>年度市管水利工程</w:t>
      </w:r>
      <w:r>
        <w:rPr>
          <w:rFonts w:hint="eastAsia" w:eastAsia="仿宋_GB2312"/>
          <w:sz w:val="32"/>
          <w:szCs w:val="32"/>
        </w:rPr>
        <w:t>维修</w:t>
      </w:r>
      <w:r>
        <w:rPr>
          <w:rFonts w:eastAsia="仿宋_GB2312"/>
          <w:sz w:val="32"/>
          <w:szCs w:val="32"/>
        </w:rPr>
        <w:t>工作按照合同约定完成，</w:t>
      </w:r>
      <w:r>
        <w:rPr>
          <w:rFonts w:hint="eastAsia" w:eastAsia="仿宋_GB2312"/>
          <w:sz w:val="32"/>
          <w:szCs w:val="32"/>
        </w:rPr>
        <w:t>主体工程均按计划完成。护坡修整、现浇排水沟、现浇护坡、排水沟清淤、土方填筑、墙体出新、沥青道路等已按批准内容完成，无尾留工程。实际完成工程量基本符合设计批复的工程量。</w:t>
      </w:r>
    </w:p>
    <w:p>
      <w:pPr>
        <w:widowControl/>
        <w:spacing w:line="560" w:lineRule="exact"/>
        <w:ind w:firstLine="640" w:firstLineChars="200"/>
        <w:rPr>
          <w:rFonts w:eastAsia="仿宋_GB2312"/>
          <w:sz w:val="32"/>
          <w:szCs w:val="32"/>
        </w:rPr>
      </w:pPr>
      <w:r>
        <w:rPr>
          <w:rFonts w:eastAsia="仿宋_GB2312"/>
          <w:sz w:val="32"/>
          <w:szCs w:val="32"/>
        </w:rPr>
        <w:t>3.项目管理情况分析</w:t>
      </w:r>
    </w:p>
    <w:p>
      <w:pPr>
        <w:widowControl/>
        <w:spacing w:line="560" w:lineRule="exact"/>
        <w:ind w:firstLine="640" w:firstLineChars="200"/>
        <w:rPr>
          <w:rFonts w:eastAsia="仿宋_GB2312"/>
          <w:sz w:val="32"/>
          <w:szCs w:val="32"/>
        </w:rPr>
      </w:pPr>
      <w:r>
        <w:rPr>
          <w:rFonts w:eastAsia="仿宋_GB2312"/>
          <w:sz w:val="32"/>
          <w:szCs w:val="32"/>
        </w:rPr>
        <w:t>项目实施过程中，组织实施单位严格执行项目法人责任制、招标投标制、合同管理制、档案管理制等一系列业务管理制度和业务管理规定。</w:t>
      </w:r>
    </w:p>
    <w:p>
      <w:pPr>
        <w:widowControl/>
        <w:spacing w:line="560" w:lineRule="exact"/>
        <w:ind w:firstLine="640" w:firstLineChars="200"/>
        <w:rPr>
          <w:rFonts w:eastAsia="仿宋_GB2312"/>
          <w:sz w:val="32"/>
          <w:szCs w:val="32"/>
        </w:rPr>
      </w:pPr>
      <w:r>
        <w:rPr>
          <w:rFonts w:eastAsia="仿宋_GB2312"/>
          <w:sz w:val="32"/>
          <w:szCs w:val="32"/>
        </w:rPr>
        <w:t>评分结果：经审核评定，本项目绩效评价得分98分，等级为优秀。（详见专项资金绩效评价指标体系自评表）</w:t>
      </w:r>
    </w:p>
    <w:p>
      <w:pPr>
        <w:widowControl/>
        <w:spacing w:line="560" w:lineRule="exact"/>
        <w:ind w:firstLine="640" w:firstLineChars="200"/>
        <w:jc w:val="left"/>
        <w:rPr>
          <w:rFonts w:eastAsia="黑体"/>
          <w:color w:val="000000"/>
          <w:kern w:val="0"/>
          <w:sz w:val="32"/>
          <w:szCs w:val="32"/>
        </w:rPr>
      </w:pPr>
      <w:r>
        <w:rPr>
          <w:rFonts w:eastAsia="黑体"/>
          <w:color w:val="000000"/>
          <w:kern w:val="0"/>
          <w:sz w:val="32"/>
          <w:szCs w:val="32"/>
        </w:rPr>
        <w:t>三、项目成效</w:t>
      </w:r>
    </w:p>
    <w:p>
      <w:pPr>
        <w:widowControl/>
        <w:spacing w:line="560" w:lineRule="exact"/>
        <w:ind w:firstLine="640" w:firstLineChars="200"/>
        <w:rPr>
          <w:rFonts w:eastAsia="仿宋_GB2312"/>
          <w:sz w:val="32"/>
          <w:szCs w:val="32"/>
        </w:rPr>
      </w:pPr>
      <w:r>
        <w:rPr>
          <w:rFonts w:hint="eastAsia" w:eastAsia="仿宋_GB2312"/>
          <w:sz w:val="32"/>
          <w:szCs w:val="32"/>
        </w:rPr>
        <w:t>1</w:t>
      </w:r>
      <w:r>
        <w:rPr>
          <w:rFonts w:eastAsia="仿宋_GB2312"/>
          <w:sz w:val="32"/>
          <w:szCs w:val="32"/>
        </w:rPr>
        <w:t>.</w:t>
      </w:r>
      <w:r>
        <w:rPr>
          <w:rFonts w:hint="eastAsia" w:eastAsia="仿宋_GB2312"/>
          <w:sz w:val="32"/>
          <w:szCs w:val="32"/>
        </w:rPr>
        <w:t>强化工程维修，保障工程运行安全：针对日常巡查检查中发现的市管水利工程部分</w:t>
      </w:r>
      <w:r>
        <w:rPr>
          <w:rFonts w:eastAsia="仿宋_GB2312"/>
          <w:sz w:val="32"/>
          <w:szCs w:val="32"/>
        </w:rPr>
        <w:t>地段排水系统不完善，水土流失严重；部分护坡坍塌</w:t>
      </w:r>
      <w:r>
        <w:rPr>
          <w:rFonts w:hint="eastAsia" w:eastAsia="仿宋_GB2312"/>
          <w:sz w:val="32"/>
          <w:szCs w:val="32"/>
        </w:rPr>
        <w:t>，植被缺损；防汛物资基地设施陈旧破损；</w:t>
      </w:r>
      <w:r>
        <w:rPr>
          <w:rFonts w:eastAsia="仿宋_GB2312"/>
          <w:sz w:val="32"/>
          <w:szCs w:val="32"/>
        </w:rPr>
        <w:t>河道及管理处院内多处设施老化损毁存在安全隐患</w:t>
      </w:r>
      <w:r>
        <w:rPr>
          <w:rFonts w:hint="eastAsia" w:eastAsia="仿宋_GB2312"/>
          <w:sz w:val="32"/>
          <w:szCs w:val="32"/>
        </w:rPr>
        <w:t>等问题</w:t>
      </w:r>
      <w:r>
        <w:rPr>
          <w:rFonts w:eastAsia="仿宋_GB2312"/>
          <w:sz w:val="32"/>
          <w:szCs w:val="32"/>
        </w:rPr>
        <w:t>，本次市级维修项目的实施是十分必要的。</w:t>
      </w:r>
      <w:r>
        <w:rPr>
          <w:rFonts w:hint="eastAsia" w:eastAsia="仿宋_GB2312"/>
          <w:sz w:val="32"/>
          <w:szCs w:val="32"/>
        </w:rPr>
        <w:t>通过本次工程实施后，消除了河道隐患，保障了河道堤防排水通畅，维护了市管水利工程安全运行。同时，改善了周边居民的生活环境和出行状况，群众满意度高。</w:t>
      </w:r>
    </w:p>
    <w:p>
      <w:pPr>
        <w:widowControl/>
        <w:spacing w:line="560" w:lineRule="exact"/>
        <w:ind w:firstLine="640" w:firstLineChars="200"/>
        <w:rPr>
          <w:rFonts w:eastAsia="仿宋_GB2312"/>
          <w:sz w:val="32"/>
          <w:szCs w:val="32"/>
        </w:rPr>
      </w:pPr>
      <w:r>
        <w:rPr>
          <w:rFonts w:hint="eastAsia" w:eastAsia="仿宋_GB2312"/>
          <w:sz w:val="32"/>
          <w:szCs w:val="32"/>
        </w:rPr>
        <w:t>2</w:t>
      </w:r>
      <w:r>
        <w:rPr>
          <w:rFonts w:eastAsia="仿宋_GB2312"/>
          <w:sz w:val="32"/>
          <w:szCs w:val="32"/>
        </w:rPr>
        <w:t>.</w:t>
      </w:r>
      <w:r>
        <w:rPr>
          <w:rFonts w:hint="eastAsia" w:eastAsia="仿宋_GB2312"/>
          <w:sz w:val="32"/>
          <w:szCs w:val="32"/>
        </w:rPr>
        <w:t>强化工程维修，保障河湖生态环境。通过实施市管水利工程维修，强化河道管理水平，有利于河道的长效管理。同时美丽安全的河道堤防环境，提升了该区生态环境，大大提高周边旅游价值，促进当地社会经济发展。</w:t>
      </w:r>
    </w:p>
    <w:p>
      <w:pPr>
        <w:widowControl/>
        <w:spacing w:line="560" w:lineRule="exact"/>
        <w:ind w:firstLine="640" w:firstLineChars="200"/>
        <w:jc w:val="left"/>
        <w:rPr>
          <w:rFonts w:eastAsia="黑体"/>
          <w:color w:val="000000"/>
          <w:kern w:val="0"/>
          <w:sz w:val="32"/>
          <w:szCs w:val="32"/>
        </w:rPr>
      </w:pPr>
      <w:r>
        <w:rPr>
          <w:rFonts w:eastAsia="黑体"/>
          <w:color w:val="000000"/>
          <w:kern w:val="0"/>
          <w:sz w:val="32"/>
          <w:szCs w:val="32"/>
        </w:rPr>
        <w:t>四、存在问题及原因分析</w:t>
      </w:r>
    </w:p>
    <w:p>
      <w:pPr>
        <w:widowControl/>
        <w:spacing w:line="560" w:lineRule="exact"/>
        <w:ind w:firstLine="640" w:firstLineChars="200"/>
        <w:rPr>
          <w:rFonts w:eastAsia="仿宋_GB2312"/>
          <w:sz w:val="32"/>
          <w:szCs w:val="32"/>
        </w:rPr>
      </w:pPr>
      <w:r>
        <w:rPr>
          <w:rFonts w:hint="eastAsia" w:eastAsia="仿宋_GB2312"/>
          <w:sz w:val="32"/>
          <w:szCs w:val="32"/>
        </w:rPr>
        <w:t>1</w:t>
      </w:r>
      <w:r>
        <w:rPr>
          <w:rFonts w:eastAsia="仿宋_GB2312"/>
          <w:sz w:val="32"/>
          <w:szCs w:val="32"/>
        </w:rPr>
        <w:t>.</w:t>
      </w:r>
      <w:r>
        <w:rPr>
          <w:rFonts w:hint="eastAsia" w:eastAsia="仿宋_GB2312"/>
          <w:sz w:val="32"/>
          <w:szCs w:val="32"/>
        </w:rPr>
        <w:t>群众水利工程保护意识还有欠缺。在堤防维修过程中发现，堤防出现人为原因导致的损坏。究其原因，群众堤防保护意识不够，</w:t>
      </w:r>
      <w:r>
        <w:rPr>
          <w:rFonts w:hint="eastAsia" w:eastAsia="仿宋_GB2312"/>
          <w:sz w:val="32"/>
          <w:szCs w:val="32"/>
          <w:lang w:val="en-US" w:eastAsia="zh-CN"/>
        </w:rPr>
        <w:t>部分地段存在</w:t>
      </w:r>
      <w:r>
        <w:rPr>
          <w:rFonts w:hint="eastAsia" w:eastAsia="仿宋_GB2312"/>
          <w:sz w:val="32"/>
          <w:szCs w:val="32"/>
        </w:rPr>
        <w:t>超重车辆挤压堤顶道路、人为破坏堤防附属设施、草皮灌木等现象，增加堤防破损率，降低堤防使用效益，影响防洪安全。</w:t>
      </w:r>
    </w:p>
    <w:p>
      <w:pPr>
        <w:widowControl/>
        <w:spacing w:line="560" w:lineRule="exact"/>
        <w:ind w:firstLine="640" w:firstLineChars="200"/>
        <w:rPr>
          <w:rFonts w:eastAsia="仿宋_GB2312"/>
          <w:sz w:val="32"/>
          <w:szCs w:val="32"/>
        </w:rPr>
      </w:pPr>
      <w:r>
        <w:rPr>
          <w:rFonts w:hint="eastAsia" w:eastAsia="仿宋_GB2312"/>
          <w:sz w:val="32"/>
          <w:szCs w:val="32"/>
        </w:rPr>
        <w:t>2</w:t>
      </w:r>
      <w:r>
        <w:rPr>
          <w:rFonts w:eastAsia="仿宋_GB2312"/>
          <w:sz w:val="32"/>
          <w:szCs w:val="32"/>
        </w:rPr>
        <w:t>.</w:t>
      </w:r>
      <w:r>
        <w:rPr>
          <w:rFonts w:hint="eastAsia" w:eastAsia="仿宋_GB2312"/>
          <w:sz w:val="32"/>
          <w:szCs w:val="32"/>
        </w:rPr>
        <w:t>水利工程维修项目验收还需加快。大部分市管水利工程维修项目需要跨年度实施，工程完工后，需要进一步加快工程验收工作。</w:t>
      </w:r>
    </w:p>
    <w:p>
      <w:pPr>
        <w:spacing w:line="560" w:lineRule="exact"/>
        <w:ind w:firstLine="640" w:firstLineChars="200"/>
        <w:rPr>
          <w:rFonts w:eastAsia="黑体"/>
          <w:color w:val="000000"/>
          <w:kern w:val="0"/>
          <w:sz w:val="32"/>
          <w:szCs w:val="32"/>
        </w:rPr>
      </w:pPr>
      <w:r>
        <w:rPr>
          <w:rFonts w:eastAsia="黑体"/>
          <w:color w:val="000000"/>
          <w:kern w:val="0"/>
          <w:sz w:val="32"/>
          <w:szCs w:val="32"/>
        </w:rPr>
        <w:t>五、有关建议</w:t>
      </w:r>
    </w:p>
    <w:p>
      <w:pPr>
        <w:widowControl/>
        <w:spacing w:line="560" w:lineRule="exact"/>
        <w:ind w:firstLine="640" w:firstLineChars="200"/>
        <w:rPr>
          <w:rFonts w:eastAsia="仿宋_GB2312"/>
          <w:sz w:val="32"/>
          <w:szCs w:val="32"/>
        </w:rPr>
      </w:pPr>
      <w:r>
        <w:rPr>
          <w:rFonts w:hint="eastAsia" w:eastAsia="仿宋_GB2312"/>
          <w:sz w:val="32"/>
          <w:szCs w:val="32"/>
        </w:rPr>
        <w:t>1</w:t>
      </w:r>
      <w:r>
        <w:rPr>
          <w:rFonts w:eastAsia="仿宋_GB2312"/>
          <w:sz w:val="32"/>
          <w:szCs w:val="32"/>
        </w:rPr>
        <w:t>.</w:t>
      </w:r>
      <w:r>
        <w:rPr>
          <w:rFonts w:hint="eastAsia" w:eastAsia="仿宋_GB2312"/>
          <w:sz w:val="32"/>
          <w:szCs w:val="32"/>
        </w:rPr>
        <w:t>加强项目养护，实现长效治理</w:t>
      </w:r>
    </w:p>
    <w:p>
      <w:pPr>
        <w:widowControl/>
        <w:spacing w:line="560" w:lineRule="exact"/>
        <w:ind w:firstLine="640" w:firstLineChars="200"/>
        <w:rPr>
          <w:rFonts w:eastAsia="仿宋_GB2312"/>
          <w:sz w:val="32"/>
          <w:szCs w:val="32"/>
        </w:rPr>
      </w:pPr>
      <w:r>
        <w:rPr>
          <w:rFonts w:hint="eastAsia" w:eastAsia="仿宋_GB2312"/>
          <w:sz w:val="32"/>
          <w:szCs w:val="32"/>
        </w:rPr>
        <w:t xml:space="preserve">巩固后期工程的维护管养，制定详细的工作流程，明确工作职责，强化责任考核机制，逐步建立健全长效管理机制。 </w:t>
      </w:r>
    </w:p>
    <w:p>
      <w:pPr>
        <w:widowControl/>
        <w:spacing w:line="560" w:lineRule="exact"/>
        <w:ind w:firstLine="640" w:firstLineChars="200"/>
        <w:rPr>
          <w:rFonts w:eastAsia="仿宋_GB2312"/>
          <w:sz w:val="32"/>
          <w:szCs w:val="32"/>
        </w:rPr>
      </w:pPr>
      <w:r>
        <w:rPr>
          <w:rFonts w:hint="eastAsia" w:eastAsia="仿宋_GB2312"/>
          <w:sz w:val="32"/>
          <w:szCs w:val="32"/>
        </w:rPr>
        <w:t>2</w:t>
      </w:r>
      <w:r>
        <w:rPr>
          <w:rFonts w:eastAsia="仿宋_GB2312"/>
          <w:sz w:val="32"/>
          <w:szCs w:val="32"/>
        </w:rPr>
        <w:t>.</w:t>
      </w:r>
      <w:r>
        <w:rPr>
          <w:rFonts w:hint="eastAsia" w:eastAsia="仿宋_GB2312"/>
          <w:sz w:val="32"/>
          <w:szCs w:val="32"/>
        </w:rPr>
        <w:t>加强河道监管、注重河道面貌</w:t>
      </w:r>
    </w:p>
    <w:p>
      <w:pPr>
        <w:widowControl/>
        <w:spacing w:line="560" w:lineRule="exact"/>
        <w:ind w:firstLine="640" w:firstLineChars="200"/>
        <w:rPr>
          <w:rFonts w:eastAsia="仿宋_GB2312"/>
          <w:sz w:val="32"/>
          <w:szCs w:val="32"/>
        </w:rPr>
      </w:pPr>
      <w:r>
        <w:rPr>
          <w:rFonts w:hint="eastAsia" w:eastAsia="仿宋_GB2312"/>
          <w:sz w:val="32"/>
          <w:szCs w:val="32"/>
        </w:rPr>
        <w:t>一方面加强河道周边企业及居民的监管，有效清理乱堆乱放。另一方面注重生态修复，打造生态河道，加强对草皮、道路、护坡等管护，形成自然和谐的生态环境。</w:t>
      </w:r>
    </w:p>
    <w:p>
      <w:pPr>
        <w:spacing w:line="560" w:lineRule="exact"/>
        <w:ind w:firstLine="640" w:firstLineChars="200"/>
        <w:rPr>
          <w:rFonts w:eastAsia="黑体"/>
          <w:color w:val="000000"/>
          <w:kern w:val="0"/>
          <w:sz w:val="32"/>
          <w:szCs w:val="32"/>
        </w:rPr>
      </w:pPr>
      <w:r>
        <w:rPr>
          <w:rFonts w:eastAsia="黑体"/>
          <w:color w:val="000000"/>
          <w:kern w:val="0"/>
          <w:sz w:val="32"/>
          <w:szCs w:val="32"/>
        </w:rPr>
        <w:t>六、评价工作开展情况及其他需说明的情况</w:t>
      </w:r>
    </w:p>
    <w:p>
      <w:pPr>
        <w:widowControl/>
        <w:spacing w:line="560" w:lineRule="exact"/>
        <w:ind w:firstLine="640" w:firstLineChars="200"/>
        <w:rPr>
          <w:rFonts w:eastAsia="仿宋_GB2312"/>
          <w:sz w:val="32"/>
          <w:szCs w:val="32"/>
        </w:rPr>
      </w:pPr>
      <w:r>
        <w:rPr>
          <w:rFonts w:hint="eastAsia" w:eastAsia="仿宋_GB2312"/>
          <w:sz w:val="32"/>
          <w:szCs w:val="32"/>
        </w:rPr>
        <w:t>建立了比较规范的绩效指标体系。同时，绩效目标随同预算批复和下达，强化资金使用的主体责任意识。对项目立项的必要性、实施方案的可行性、绩效目标的合理性、投资测算的准确性等分析，在保障任务需求的前提下，压实投资预算，将绩效评估结果和绩效目标管理融入到预算编制、执行、监督、评价全过程。</w:t>
      </w:r>
    </w:p>
    <w:p>
      <w:pPr>
        <w:widowControl/>
        <w:spacing w:line="560" w:lineRule="exact"/>
        <w:ind w:firstLine="640" w:firstLineChars="200"/>
        <w:rPr>
          <w:rFonts w:eastAsia="仿宋_GB2312"/>
          <w:sz w:val="32"/>
          <w:szCs w:val="32"/>
        </w:rPr>
      </w:pPr>
    </w:p>
    <w:p>
      <w:pPr>
        <w:spacing w:line="560" w:lineRule="exact"/>
        <w:ind w:firstLine="640" w:firstLineChars="200"/>
        <w:rPr>
          <w:rFonts w:eastAsia="仿宋"/>
          <w:color w:val="000000"/>
          <w:kern w:val="0"/>
          <w:sz w:val="32"/>
          <w:szCs w:val="32"/>
        </w:rPr>
      </w:pPr>
      <w:r>
        <w:rPr>
          <w:rFonts w:eastAsia="仿宋"/>
          <w:color w:val="000000"/>
          <w:kern w:val="0"/>
          <w:sz w:val="32"/>
          <w:szCs w:val="32"/>
        </w:rPr>
        <w:t>附件：1.指标体系得分情况</w:t>
      </w:r>
    </w:p>
    <w:p>
      <w:pPr>
        <w:spacing w:line="560" w:lineRule="exact"/>
        <w:ind w:firstLine="1600" w:firstLineChars="500"/>
        <w:rPr>
          <w:rFonts w:eastAsia="仿宋_GB2312"/>
          <w:color w:val="000000"/>
          <w:kern w:val="0"/>
          <w:sz w:val="32"/>
          <w:szCs w:val="32"/>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Q0NGJhZmNkMmRlYjVkZWI4YjAyYTJhMjYyYzVjNTMifQ=="/>
  </w:docVars>
  <w:rsids>
    <w:rsidRoot w:val="004D66B4"/>
    <w:rsid w:val="00025A76"/>
    <w:rsid w:val="0015467A"/>
    <w:rsid w:val="00183DE1"/>
    <w:rsid w:val="0038291C"/>
    <w:rsid w:val="004D66B4"/>
    <w:rsid w:val="004F23B6"/>
    <w:rsid w:val="004F72BA"/>
    <w:rsid w:val="00523794"/>
    <w:rsid w:val="00534A5E"/>
    <w:rsid w:val="00562311"/>
    <w:rsid w:val="005C7D8E"/>
    <w:rsid w:val="005D7F03"/>
    <w:rsid w:val="006D6F55"/>
    <w:rsid w:val="008C3C74"/>
    <w:rsid w:val="009073E4"/>
    <w:rsid w:val="00921203"/>
    <w:rsid w:val="009308DB"/>
    <w:rsid w:val="009A3CA5"/>
    <w:rsid w:val="009B16CE"/>
    <w:rsid w:val="00A30866"/>
    <w:rsid w:val="00A433AD"/>
    <w:rsid w:val="00A74BFA"/>
    <w:rsid w:val="00B32335"/>
    <w:rsid w:val="00B4155D"/>
    <w:rsid w:val="00BA6088"/>
    <w:rsid w:val="00BD559F"/>
    <w:rsid w:val="00BF2176"/>
    <w:rsid w:val="00D47145"/>
    <w:rsid w:val="00D93F6F"/>
    <w:rsid w:val="00DD226A"/>
    <w:rsid w:val="00EB646B"/>
    <w:rsid w:val="00F222A9"/>
    <w:rsid w:val="00F31368"/>
    <w:rsid w:val="00F32A04"/>
    <w:rsid w:val="00F857F9"/>
    <w:rsid w:val="00F87B25"/>
    <w:rsid w:val="00FC27AA"/>
    <w:rsid w:val="01D95B81"/>
    <w:rsid w:val="033C05D1"/>
    <w:rsid w:val="0C0A1AE2"/>
    <w:rsid w:val="0D3925D3"/>
    <w:rsid w:val="108D4B11"/>
    <w:rsid w:val="16BE4C94"/>
    <w:rsid w:val="1A136006"/>
    <w:rsid w:val="1F3D5D6B"/>
    <w:rsid w:val="22244596"/>
    <w:rsid w:val="225A0C09"/>
    <w:rsid w:val="23B71E7A"/>
    <w:rsid w:val="25956469"/>
    <w:rsid w:val="2C8903AA"/>
    <w:rsid w:val="3C0029F4"/>
    <w:rsid w:val="3D251A29"/>
    <w:rsid w:val="3FF102E8"/>
    <w:rsid w:val="42AF6BE5"/>
    <w:rsid w:val="42FD44B2"/>
    <w:rsid w:val="462A6302"/>
    <w:rsid w:val="52A45AC7"/>
    <w:rsid w:val="5DC310BE"/>
    <w:rsid w:val="5DD67327"/>
    <w:rsid w:val="60C53FFF"/>
    <w:rsid w:val="6AA90E6B"/>
    <w:rsid w:val="781A1483"/>
    <w:rsid w:val="78C25DA2"/>
    <w:rsid w:val="7EF42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semiHidden/>
    <w:unhideWhenUsed/>
    <w:qFormat/>
    <w:uiPriority w:val="99"/>
    <w:pPr>
      <w:ind w:firstLine="420" w:firstLineChars="100"/>
    </w:pPr>
  </w:style>
  <w:style w:type="paragraph" w:styleId="3">
    <w:name w:val="Body Text"/>
    <w:basedOn w:val="1"/>
    <w:semiHidden/>
    <w:unhideWhenUsed/>
    <w:uiPriority w:val="99"/>
    <w:pPr>
      <w:spacing w:after="120"/>
    </w:p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styleId="9">
    <w:name w:val="Hyperlink"/>
    <w:basedOn w:val="8"/>
    <w:unhideWhenUsed/>
    <w:qFormat/>
    <w:uiPriority w:val="99"/>
    <w:rPr>
      <w:color w:val="0000FF" w:themeColor="hyperlink"/>
      <w:u w:val="single"/>
      <w14:textFill>
        <w14:solidFill>
          <w14:schemeClr w14:val="hlink"/>
        </w14:solidFill>
      </w14:textFill>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paragraph" w:styleId="12">
    <w:name w:val="List Paragraph"/>
    <w:basedOn w:val="1"/>
    <w:qFormat/>
    <w:uiPriority w:val="34"/>
    <w:pPr>
      <w:ind w:firstLine="420"/>
    </w:pPr>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5484</Words>
  <Characters>6138</Characters>
  <Lines>46</Lines>
  <Paragraphs>13</Paragraphs>
  <TotalTime>13</TotalTime>
  <ScaleCrop>false</ScaleCrop>
  <LinksUpToDate>false</LinksUpToDate>
  <CharactersWithSpaces>6147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2022-06-14T03:43:00Z</dcterms:created>
  <dc:creator>liul</dc:creator>
  <cp:lastModifiedBy>唐小斗</cp:lastModifiedBy>
  <dcterms:modified xsi:type="dcterms:W3CDTF">2023-05-18T08:17:46Z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734394CF25654223925BFF1ECE07A767_13</vt:lpwstr>
  </property>
</Properties>
</file>