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5AE5">
      <w:pPr>
        <w:widowControl/>
        <w:jc w:val="center"/>
        <w:rPr>
          <w:rFonts w:eastAsia="方正小标宋简体"/>
          <w:sz w:val="44"/>
          <w:szCs w:val="44"/>
        </w:rPr>
      </w:pPr>
    </w:p>
    <w:p w14:paraId="12C5B4C7">
      <w:pPr>
        <w:widowControl/>
        <w:jc w:val="center"/>
        <w:rPr>
          <w:rFonts w:eastAsia="方正小标宋简体"/>
          <w:sz w:val="44"/>
          <w:szCs w:val="44"/>
        </w:rPr>
      </w:pPr>
      <w:r>
        <w:rPr>
          <w:rFonts w:eastAsia="方正小标宋简体"/>
          <w:sz w:val="44"/>
          <w:szCs w:val="44"/>
        </w:rPr>
        <w:t>202</w:t>
      </w:r>
      <w:r>
        <w:rPr>
          <w:rFonts w:hint="eastAsia" w:eastAsia="方正小标宋简体"/>
          <w:sz w:val="44"/>
          <w:szCs w:val="44"/>
        </w:rPr>
        <w:t>2</w:t>
      </w:r>
      <w:r>
        <w:rPr>
          <w:rFonts w:eastAsia="方正小标宋简体"/>
          <w:sz w:val="44"/>
          <w:szCs w:val="44"/>
        </w:rPr>
        <w:t>年度污水处理运营维护项目专项资金绩效自评价报告</w:t>
      </w:r>
    </w:p>
    <w:p w14:paraId="0E38BD0F">
      <w:pPr>
        <w:widowControl/>
        <w:spacing w:line="560" w:lineRule="exact"/>
        <w:jc w:val="left"/>
        <w:rPr>
          <w:rFonts w:eastAsia="黑体"/>
          <w:color w:val="000000"/>
          <w:kern w:val="0"/>
          <w:sz w:val="32"/>
          <w:szCs w:val="32"/>
        </w:rPr>
      </w:pPr>
    </w:p>
    <w:p w14:paraId="5225C46E">
      <w:pPr>
        <w:widowControl/>
        <w:spacing w:line="600" w:lineRule="exact"/>
        <w:ind w:firstLine="640" w:firstLineChars="200"/>
        <w:jc w:val="left"/>
        <w:rPr>
          <w:rFonts w:eastAsia="黑体"/>
          <w:kern w:val="0"/>
          <w:sz w:val="32"/>
          <w:szCs w:val="32"/>
        </w:rPr>
      </w:pPr>
      <w:r>
        <w:rPr>
          <w:rFonts w:hAnsi="黑体" w:eastAsia="黑体"/>
          <w:color w:val="000000"/>
          <w:kern w:val="0"/>
          <w:sz w:val="32"/>
          <w:szCs w:val="32"/>
        </w:rPr>
        <w:t>一、项目概况</w:t>
      </w:r>
    </w:p>
    <w:p w14:paraId="5EE1B66A">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近年来，我市高度重视水环境治理工作，深入贯彻落实国家、省关于打好碧水保卫战决策部署，先后开展了城市黑臭水体整治、水环境提升</w:t>
      </w:r>
      <w:r>
        <w:rPr>
          <w:rFonts w:hint="eastAsia" w:eastAsia="仿宋_GB2312"/>
          <w:color w:val="000000"/>
          <w:kern w:val="0"/>
          <w:sz w:val="32"/>
          <w:szCs w:val="32"/>
        </w:rPr>
        <w:t>、污水处理提质增效等</w:t>
      </w:r>
      <w:r>
        <w:rPr>
          <w:rFonts w:eastAsia="仿宋_GB2312"/>
          <w:color w:val="000000"/>
          <w:kern w:val="0"/>
          <w:sz w:val="32"/>
          <w:szCs w:val="32"/>
        </w:rPr>
        <w:t>行动，取得了阶段性成效。为持续做好全市水环境整治提升工作，切实巩固黑臭水体整治成效，全面推动城乡水环境高质量发展，根据《南京市水环境提升行动计划（2018—2020年）》（宁政发〔2017〕236号）和《南京市城市黑臭水体治理成效巩固提升实施方案》（宁政办发〔2019〕3号）要求，制定了《南京市202</w:t>
      </w:r>
      <w:r>
        <w:rPr>
          <w:rFonts w:hint="eastAsia" w:eastAsia="仿宋_GB2312"/>
          <w:color w:val="000000"/>
          <w:kern w:val="0"/>
          <w:sz w:val="32"/>
          <w:szCs w:val="32"/>
        </w:rPr>
        <w:t>0</w:t>
      </w:r>
      <w:r>
        <w:rPr>
          <w:rFonts w:eastAsia="仿宋_GB2312"/>
          <w:color w:val="000000"/>
          <w:kern w:val="0"/>
          <w:sz w:val="32"/>
          <w:szCs w:val="32"/>
        </w:rPr>
        <w:t>年水环境整治提升工作方案》，方案明确要求推进污水全收集、全处理和“污水处理提质增效达标区”建设；城市生活污水处理厂污泥无害化处置率达100%。</w:t>
      </w:r>
    </w:p>
    <w:p w14:paraId="38D4416F">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为保障市管污水处理厂的正常运行，2022</w:t>
      </w:r>
      <w:r>
        <w:rPr>
          <w:rFonts w:eastAsia="仿宋_GB2312"/>
          <w:color w:val="000000"/>
          <w:kern w:val="0"/>
          <w:sz w:val="32"/>
          <w:szCs w:val="32"/>
        </w:rPr>
        <w:t>年拨付江心洲污水处理厂、城北污水理厂一级A段、桥北污水处理厂、铁北污水处理厂、城东北控污水处理厂、城东三期污水处理厂、仙林碧水源污水处理厂、金州城北污水处理厂、东阳污水处理厂和龙潭污水处理厂污水处理费</w:t>
      </w:r>
      <w:r>
        <w:rPr>
          <w:rFonts w:hint="eastAsia" w:eastAsia="仿宋_GB2312"/>
          <w:sz w:val="32"/>
          <w:szCs w:val="32"/>
        </w:rPr>
        <w:t>，根据市政府相关会议纪要精神拨付</w:t>
      </w:r>
      <w:r>
        <w:rPr>
          <w:rFonts w:eastAsia="仿宋_GB2312"/>
          <w:sz w:val="32"/>
          <w:szCs w:val="32"/>
        </w:rPr>
        <w:t>外秦淮河定补费用</w:t>
      </w:r>
      <w:r>
        <w:rPr>
          <w:rFonts w:eastAsia="仿宋_GB2312"/>
          <w:color w:val="000000"/>
          <w:kern w:val="0"/>
          <w:sz w:val="32"/>
          <w:szCs w:val="32"/>
        </w:rPr>
        <w:t>。污水处理厂污水排放标准执行《城镇污水处理厂污染物排放标准》（GB18918-2002）一级A排放标准，尾水水质合格率100%。</w:t>
      </w:r>
    </w:p>
    <w:p w14:paraId="1D402380">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（二）项目资金情况</w:t>
      </w:r>
    </w:p>
    <w:p w14:paraId="604D05BB">
      <w:pPr>
        <w:spacing w:line="600" w:lineRule="exact"/>
        <w:ind w:firstLine="960" w:firstLineChars="300"/>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年度计划安排污水处理运营维护资金</w:t>
      </w:r>
      <w:r>
        <w:rPr>
          <w:rFonts w:hint="eastAsia" w:eastAsia="仿宋_GB2312"/>
          <w:sz w:val="32"/>
          <w:szCs w:val="32"/>
        </w:rPr>
        <w:t>108000</w:t>
      </w:r>
      <w:r>
        <w:rPr>
          <w:rFonts w:eastAsia="仿宋_GB2312"/>
          <w:sz w:val="32"/>
          <w:szCs w:val="32"/>
        </w:rPr>
        <w:t>万元，完成支付</w:t>
      </w:r>
      <w:r>
        <w:rPr>
          <w:rFonts w:hint="eastAsia" w:eastAsia="仿宋_GB2312"/>
          <w:sz w:val="32"/>
          <w:szCs w:val="32"/>
        </w:rPr>
        <w:t>105032.9233</w:t>
      </w:r>
      <w:r>
        <w:rPr>
          <w:rFonts w:eastAsia="仿宋_GB2312"/>
          <w:sz w:val="32"/>
          <w:szCs w:val="32"/>
        </w:rPr>
        <w:t>万元。其中，拨付污水处理厂污水处理费相关资金</w:t>
      </w:r>
      <w:r>
        <w:rPr>
          <w:rFonts w:hint="eastAsia" w:eastAsia="仿宋_GB2312"/>
          <w:sz w:val="32"/>
          <w:szCs w:val="32"/>
        </w:rPr>
        <w:t>101532.9233</w:t>
      </w:r>
      <w:r>
        <w:rPr>
          <w:rFonts w:eastAsia="仿宋_GB2312"/>
          <w:sz w:val="32"/>
          <w:szCs w:val="32"/>
        </w:rPr>
        <w:t>万元，外秦淮河定补3500万元。</w:t>
      </w:r>
    </w:p>
    <w:p w14:paraId="1E9A992C">
      <w:pPr>
        <w:spacing w:line="600" w:lineRule="exact"/>
        <w:ind w:firstLine="960" w:firstLineChars="300"/>
        <w:rPr>
          <w:rFonts w:eastAsia="仿宋_GB2312"/>
          <w:sz w:val="32"/>
          <w:szCs w:val="32"/>
        </w:rPr>
      </w:pPr>
      <w:r>
        <w:rPr>
          <w:rFonts w:eastAsia="仿宋_GB2312"/>
          <w:color w:val="000000"/>
          <w:kern w:val="0"/>
          <w:sz w:val="32"/>
          <w:szCs w:val="32"/>
        </w:rPr>
        <w:t>根据《城镇排水与污水处理条例》《关于加快市政公用行业市场化进程的意见》《南京市公共资源交易管理办法》等有关规定，南京市人民政府授权并指定南京市水务局与金陵环境签订南京市主城污水处理特许经营权协议，授予金陵环境及控股子公司污水处理特许经营权。根据协议内容，金陵环境每月污水处理费用计算依据为当期结算污水处理量*当期污水处理单价*考核系数，金州城北、城东北控和仙林碧水源污水处理费按照TOT和PPP协议付费，202</w:t>
      </w:r>
      <w:r>
        <w:rPr>
          <w:rFonts w:hint="eastAsia" w:eastAsia="仿宋_GB2312"/>
          <w:color w:val="000000"/>
          <w:kern w:val="0"/>
          <w:sz w:val="32"/>
          <w:szCs w:val="32"/>
        </w:rPr>
        <w:t>2</w:t>
      </w:r>
      <w:r>
        <w:rPr>
          <w:rFonts w:eastAsia="仿宋_GB2312"/>
          <w:color w:val="000000"/>
          <w:kern w:val="0"/>
          <w:sz w:val="32"/>
          <w:szCs w:val="32"/>
        </w:rPr>
        <w:t>年共计拨付</w:t>
      </w:r>
      <w:r>
        <w:rPr>
          <w:rFonts w:eastAsia="仿宋_GB2312"/>
          <w:sz w:val="32"/>
          <w:szCs w:val="32"/>
        </w:rPr>
        <w:t>污水处理厂</w:t>
      </w:r>
      <w:r>
        <w:rPr>
          <w:rFonts w:eastAsia="仿宋_GB2312"/>
          <w:color w:val="000000"/>
          <w:kern w:val="0"/>
          <w:sz w:val="32"/>
          <w:szCs w:val="32"/>
        </w:rPr>
        <w:t>污水处理费</w:t>
      </w:r>
      <w:r>
        <w:rPr>
          <w:rFonts w:hint="eastAsia" w:eastAsia="仿宋_GB2312"/>
          <w:sz w:val="32"/>
          <w:szCs w:val="32"/>
        </w:rPr>
        <w:t>101532.9233</w:t>
      </w:r>
      <w:r>
        <w:rPr>
          <w:rFonts w:eastAsia="仿宋_GB2312"/>
          <w:sz w:val="32"/>
          <w:szCs w:val="32"/>
        </w:rPr>
        <w:t>万元，外秦淮河定补3500万元</w:t>
      </w:r>
      <w:r>
        <w:rPr>
          <w:rFonts w:eastAsia="仿宋_GB2312"/>
          <w:color w:val="000000"/>
          <w:kern w:val="0"/>
          <w:sz w:val="32"/>
          <w:szCs w:val="32"/>
        </w:rPr>
        <w:t>。</w:t>
      </w:r>
    </w:p>
    <w:p w14:paraId="1C9A7E18">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（三）绩效目标</w:t>
      </w:r>
    </w:p>
    <w:p w14:paraId="352A3DB2">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绩效总目标：贯彻落实国家水环境治理总体战略，根据省、市及行业主管部门水环境保护各项法规、条例及工作要求，加大污水处理运营投入，确保污水经处理后达标排放，促进全市水环境治理，为经济发展提供优良环境保障。</w:t>
      </w:r>
    </w:p>
    <w:p w14:paraId="26D59D31">
      <w:pPr>
        <w:widowControl/>
        <w:spacing w:line="600" w:lineRule="exact"/>
        <w:jc w:val="left"/>
        <w:rPr>
          <w:rFonts w:eastAsia="仿宋"/>
          <w:color w:val="000000"/>
          <w:kern w:val="0"/>
          <w:sz w:val="32"/>
          <w:szCs w:val="32"/>
        </w:rPr>
      </w:pPr>
      <w:r>
        <w:rPr>
          <w:rFonts w:hint="eastAsia" w:eastAsia="仿宋_GB2312"/>
          <w:color w:val="000000"/>
          <w:kern w:val="0"/>
          <w:sz w:val="32"/>
          <w:szCs w:val="32"/>
        </w:rPr>
        <w:t xml:space="preserve">    </w:t>
      </w:r>
      <w:r>
        <w:rPr>
          <w:rFonts w:eastAsia="仿宋_GB2312"/>
          <w:color w:val="000000"/>
          <w:kern w:val="0"/>
          <w:sz w:val="32"/>
          <w:szCs w:val="32"/>
        </w:rPr>
        <w:t>2、年度绩效目标：</w:t>
      </w:r>
      <w:r>
        <w:rPr>
          <w:rFonts w:hint="eastAsia" w:eastAsia="仿宋_GB2312"/>
          <w:color w:val="000000"/>
          <w:kern w:val="0"/>
          <w:sz w:val="32"/>
          <w:szCs w:val="32"/>
        </w:rPr>
        <w:t>实现南京市污水处理厂污水应收尽收，</w:t>
      </w:r>
      <w:r>
        <w:rPr>
          <w:rFonts w:eastAsia="仿宋_GB2312"/>
          <w:sz w:val="32"/>
          <w:szCs w:val="32"/>
        </w:rPr>
        <w:t>污水处理厂出水水质均达</w:t>
      </w:r>
      <w:r>
        <w:rPr>
          <w:rFonts w:hint="eastAsia" w:eastAsia="仿宋_GB2312"/>
          <w:sz w:val="32"/>
          <w:szCs w:val="32"/>
        </w:rPr>
        <w:t>《城镇污水处理厂污染物排放标准》GB 18918-2002一级A标准</w:t>
      </w:r>
      <w:r>
        <w:rPr>
          <w:rFonts w:eastAsia="仿宋_GB2312"/>
          <w:sz w:val="32"/>
          <w:szCs w:val="32"/>
        </w:rPr>
        <w:t>、</w:t>
      </w:r>
      <w:r>
        <w:rPr>
          <w:rFonts w:hint="eastAsia" w:eastAsia="仿宋_GB2312"/>
          <w:sz w:val="32"/>
          <w:szCs w:val="32"/>
        </w:rPr>
        <w:t>全年污染物削减量较上一年提升5%，保障全市水环境。</w:t>
      </w:r>
    </w:p>
    <w:p w14:paraId="35A9FE8F">
      <w:pPr>
        <w:widowControl/>
        <w:spacing w:line="600" w:lineRule="exact"/>
        <w:ind w:firstLine="640" w:firstLineChars="200"/>
        <w:jc w:val="left"/>
        <w:rPr>
          <w:rFonts w:eastAsia="黑体"/>
          <w:kern w:val="0"/>
          <w:sz w:val="32"/>
          <w:szCs w:val="32"/>
        </w:rPr>
      </w:pPr>
      <w:r>
        <w:rPr>
          <w:rFonts w:hAnsi="黑体" w:eastAsia="黑体"/>
          <w:color w:val="000000"/>
          <w:kern w:val="0"/>
          <w:sz w:val="32"/>
          <w:szCs w:val="32"/>
        </w:rPr>
        <w:t>二、评价结论</w:t>
      </w:r>
    </w:p>
    <w:p w14:paraId="6EBA65FC">
      <w:pPr>
        <w:pStyle w:val="2"/>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（一）评价对象、范围</w:t>
      </w:r>
    </w:p>
    <w:p w14:paraId="64C52135">
      <w:pPr>
        <w:spacing w:line="600" w:lineRule="exact"/>
        <w:ind w:firstLine="600"/>
        <w:rPr>
          <w:rFonts w:eastAsia="仿宋_GB2312"/>
          <w:sz w:val="32"/>
          <w:szCs w:val="32"/>
        </w:rPr>
      </w:pPr>
      <w:r>
        <w:rPr>
          <w:rFonts w:eastAsia="仿宋_GB2312"/>
          <w:sz w:val="32"/>
          <w:szCs w:val="32"/>
        </w:rPr>
        <w:t>主要为</w:t>
      </w:r>
      <w:r>
        <w:rPr>
          <w:rFonts w:eastAsia="仿宋_GB2312"/>
          <w:color w:val="000000"/>
          <w:kern w:val="0"/>
          <w:sz w:val="32"/>
          <w:szCs w:val="32"/>
        </w:rPr>
        <w:t>江心洲污水处理厂、桥北污水处理厂、铁北污水处理厂、城北污水理厂一级A段、城东北控污水处理厂、城东三期污水处理厂、仙林碧水源污水处理厂、金州城北污水处理厂、东阳污水处理厂和龙潭污水处理厂</w:t>
      </w:r>
      <w:r>
        <w:rPr>
          <w:rFonts w:eastAsia="仿宋_GB2312"/>
          <w:sz w:val="32"/>
          <w:szCs w:val="32"/>
        </w:rPr>
        <w:t>，资金拨付严格按实施方案批复文件、合同条款及相关财务要求执行。</w:t>
      </w:r>
    </w:p>
    <w:p w14:paraId="5EE7C844">
      <w:pPr>
        <w:widowControl/>
        <w:spacing w:line="600" w:lineRule="exact"/>
        <w:ind w:left="640"/>
        <w:jc w:val="left"/>
        <w:rPr>
          <w:rFonts w:eastAsia="仿宋_GB2312"/>
          <w:color w:val="000000"/>
          <w:kern w:val="0"/>
          <w:sz w:val="32"/>
          <w:szCs w:val="32"/>
        </w:rPr>
      </w:pPr>
      <w:r>
        <w:rPr>
          <w:rFonts w:eastAsia="仿宋_GB2312"/>
          <w:sz w:val="32"/>
          <w:szCs w:val="32"/>
        </w:rPr>
        <w:t>（二）评价结论、结果（得分情况）</w:t>
      </w:r>
    </w:p>
    <w:p w14:paraId="239303AB">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根据绩效评价指标体系，在资金分配、项目管理、财务管理、数量指标、质量指标、社会效益指标和生态效益等指标均按时完成。202</w:t>
      </w:r>
      <w:r>
        <w:rPr>
          <w:rFonts w:hint="eastAsia" w:eastAsia="仿宋_GB2312"/>
          <w:color w:val="000000"/>
          <w:kern w:val="0"/>
          <w:sz w:val="32"/>
          <w:szCs w:val="32"/>
        </w:rPr>
        <w:t>2</w:t>
      </w:r>
      <w:r>
        <w:rPr>
          <w:rFonts w:eastAsia="仿宋_GB2312"/>
          <w:color w:val="000000"/>
          <w:kern w:val="0"/>
          <w:sz w:val="32"/>
          <w:szCs w:val="32"/>
        </w:rPr>
        <w:t>年污水处理运营维护项目自评97分，绩效评价等次为优等。</w:t>
      </w:r>
    </w:p>
    <w:p w14:paraId="623572A9">
      <w:pPr>
        <w:widowControl/>
        <w:numPr>
          <w:ilvl w:val="0"/>
          <w:numId w:val="1"/>
        </w:numPr>
        <w:spacing w:line="600" w:lineRule="exact"/>
        <w:ind w:firstLine="640" w:firstLineChars="200"/>
        <w:jc w:val="left"/>
        <w:rPr>
          <w:rFonts w:eastAsia="黑体"/>
          <w:color w:val="000000"/>
          <w:kern w:val="0"/>
          <w:sz w:val="32"/>
          <w:szCs w:val="32"/>
        </w:rPr>
      </w:pPr>
      <w:r>
        <w:rPr>
          <w:rFonts w:hAnsi="黑体" w:eastAsia="黑体"/>
          <w:color w:val="000000"/>
          <w:kern w:val="0"/>
          <w:sz w:val="32"/>
          <w:szCs w:val="32"/>
        </w:rPr>
        <w:t>项目成效</w:t>
      </w:r>
    </w:p>
    <w:p w14:paraId="40C9D669">
      <w:pPr>
        <w:pStyle w:val="2"/>
        <w:spacing w:line="600" w:lineRule="exact"/>
        <w:ind w:firstLine="640" w:firstLineChars="200"/>
        <w:rPr>
          <w:rFonts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各污水处理厂在生产管理中，严格按照相关法律及特许经营权协议约定对污水处理设施进行运营维护，在设计能力范围内对进入厂内的污水进行合格处理后达标排放，进、出水水量接受市水务局、生态环境局的监管，并确保污水处理厂出水水质、污泥及噪声达到有关规范标准。各污水处理厂出水水质均达到</w:t>
      </w:r>
      <w:r>
        <w:rPr>
          <w:rFonts w:hint="eastAsia" w:ascii="Times New Roman" w:hAnsi="Times New Roman" w:eastAsia="仿宋_GB2312" w:cs="Times New Roman"/>
          <w:color w:val="auto"/>
          <w:kern w:val="2"/>
          <w:sz w:val="32"/>
          <w:szCs w:val="32"/>
        </w:rPr>
        <w:t>《城镇污水处理厂污染物排放标准》GB 18918-2002一级A</w:t>
      </w:r>
      <w:r>
        <w:rPr>
          <w:rFonts w:hint="eastAsia" w:eastAsia="仿宋_GB2312"/>
          <w:sz w:val="32"/>
          <w:szCs w:val="32"/>
        </w:rPr>
        <w:t>标准</w:t>
      </w:r>
      <w:r>
        <w:rPr>
          <w:rFonts w:ascii="Times New Roman" w:hAnsi="Times New Roman" w:eastAsia="仿宋_GB2312" w:cs="Times New Roman"/>
          <w:color w:val="auto"/>
          <w:kern w:val="2"/>
          <w:sz w:val="32"/>
          <w:szCs w:val="32"/>
        </w:rPr>
        <w:t>，全年安全生产，未发生生产事故。主要生产指标如下：</w:t>
      </w:r>
    </w:p>
    <w:p w14:paraId="5582C2B5">
      <w:pPr>
        <w:pStyle w:val="9"/>
        <w:spacing w:line="600" w:lineRule="exact"/>
        <w:ind w:firstLine="640" w:firstLineChars="200"/>
        <w:rPr>
          <w:rFonts w:hAnsi="仿宋" w:eastAsia="仿宋"/>
          <w:sz w:val="32"/>
          <w:szCs w:val="32"/>
        </w:rPr>
      </w:pPr>
      <w:r>
        <w:rPr>
          <w:rFonts w:eastAsia="仿宋_GB2312"/>
          <w:kern w:val="2"/>
          <w:sz w:val="32"/>
          <w:szCs w:val="32"/>
        </w:rPr>
        <w:t>1、202</w:t>
      </w:r>
      <w:r>
        <w:rPr>
          <w:rFonts w:hint="eastAsia" w:eastAsia="仿宋_GB2312"/>
          <w:kern w:val="2"/>
          <w:sz w:val="32"/>
          <w:szCs w:val="32"/>
        </w:rPr>
        <w:t>2</w:t>
      </w:r>
      <w:r>
        <w:rPr>
          <w:rFonts w:eastAsia="仿宋_GB2312"/>
          <w:kern w:val="2"/>
          <w:sz w:val="32"/>
          <w:szCs w:val="32"/>
        </w:rPr>
        <w:t>年全年</w:t>
      </w:r>
      <w:r>
        <w:rPr>
          <w:rFonts w:hAnsi="仿宋" w:eastAsia="仿宋"/>
          <w:sz w:val="32"/>
          <w:szCs w:val="32"/>
        </w:rPr>
        <w:t>共收集处理污水</w:t>
      </w:r>
      <w:r>
        <w:rPr>
          <w:rFonts w:hint="eastAsia" w:eastAsia="仿宋"/>
          <w:sz w:val="32"/>
          <w:szCs w:val="32"/>
        </w:rPr>
        <w:t>67505.36</w:t>
      </w:r>
      <w:r>
        <w:rPr>
          <w:rFonts w:hAnsi="仿宋" w:eastAsia="仿宋"/>
          <w:sz w:val="32"/>
          <w:szCs w:val="32"/>
        </w:rPr>
        <w:t>万吨。其中：</w:t>
      </w:r>
      <w:r>
        <w:rPr>
          <w:rFonts w:hint="eastAsia" w:hAnsi="仿宋" w:eastAsia="仿宋"/>
          <w:sz w:val="32"/>
          <w:szCs w:val="32"/>
        </w:rPr>
        <w:t>江心洲厂24745.32万吨、桥北厂6649.29万吨、铁北厂5159.86万吨、城东三期5451.78万吨，城南2995.45万吨、金州城北10926.54万吨，城东北控6816.91万吨，仙林碧水源3462.34万吨</w:t>
      </w:r>
      <w:r>
        <w:rPr>
          <w:rFonts w:hAnsi="仿宋" w:eastAsia="仿宋"/>
          <w:sz w:val="32"/>
          <w:szCs w:val="32"/>
        </w:rPr>
        <w:t>，东阳</w:t>
      </w:r>
      <w:r>
        <w:rPr>
          <w:rFonts w:hint="eastAsia" w:hAnsi="仿宋" w:eastAsia="仿宋"/>
          <w:sz w:val="32"/>
          <w:szCs w:val="32"/>
        </w:rPr>
        <w:t>1072</w:t>
      </w:r>
      <w:r>
        <w:rPr>
          <w:rFonts w:hAnsi="仿宋" w:eastAsia="仿宋"/>
          <w:sz w:val="32"/>
          <w:szCs w:val="32"/>
        </w:rPr>
        <w:t>万吨，龙潭</w:t>
      </w:r>
      <w:r>
        <w:rPr>
          <w:rFonts w:hint="eastAsia" w:hAnsi="仿宋" w:eastAsia="仿宋"/>
          <w:sz w:val="32"/>
          <w:szCs w:val="32"/>
        </w:rPr>
        <w:t>225.87</w:t>
      </w:r>
      <w:r>
        <w:rPr>
          <w:rFonts w:hAnsi="仿宋" w:eastAsia="仿宋"/>
          <w:sz w:val="32"/>
          <w:szCs w:val="32"/>
        </w:rPr>
        <w:t>万吨。</w:t>
      </w:r>
    </w:p>
    <w:p w14:paraId="07723C30">
      <w:pPr>
        <w:pStyle w:val="9"/>
        <w:spacing w:line="600" w:lineRule="exact"/>
        <w:ind w:firstLine="640" w:firstLineChars="200"/>
        <w:rPr>
          <w:rFonts w:eastAsia="仿宋"/>
          <w:sz w:val="32"/>
          <w:szCs w:val="32"/>
        </w:rPr>
      </w:pPr>
      <w:r>
        <w:rPr>
          <w:rFonts w:hAnsi="仿宋" w:eastAsia="仿宋"/>
          <w:sz w:val="32"/>
          <w:szCs w:val="32"/>
        </w:rPr>
        <w:t>在污泥管控工作方面能严格做到规范化处置，并持续完善污泥处置管理办法及应急预案，日常严格落实污泥运输处置全过程管控，有效实现污泥闭环管理，杜绝环境事件发生。</w:t>
      </w:r>
    </w:p>
    <w:p w14:paraId="0858AEEB">
      <w:pPr>
        <w:widowControl/>
        <w:spacing w:line="600" w:lineRule="exact"/>
        <w:ind w:firstLine="480" w:firstLineChars="150"/>
        <w:rPr>
          <w:rFonts w:hAnsi="仿宋" w:eastAsia="仿宋"/>
          <w:kern w:val="0"/>
          <w:sz w:val="32"/>
          <w:szCs w:val="32"/>
        </w:rPr>
      </w:pPr>
      <w:r>
        <w:rPr>
          <w:rFonts w:hAnsi="仿宋" w:eastAsia="仿宋"/>
          <w:kern w:val="0"/>
          <w:sz w:val="32"/>
          <w:szCs w:val="32"/>
        </w:rPr>
        <w:t>2、</w:t>
      </w:r>
      <w:r>
        <w:rPr>
          <w:rFonts w:hint="eastAsia" w:hAnsi="仿宋" w:eastAsia="仿宋"/>
          <w:kern w:val="0"/>
          <w:sz w:val="32"/>
          <w:szCs w:val="32"/>
        </w:rPr>
        <w:t>按照南京市2022年污染物减排计划，分解落实污染减排任务至各污水处理厂，并加强日常跟踪管理。2022年1-12月江心洲、桥北、铁北、城东三期、城南、城北一级A污水厂已完成COD削减量11.93万吨，氨氮削减量1.32万吨，TN削减量1.14万吨，TP削减量1698吨，全年污染物削减量较上一年提升3%。</w:t>
      </w:r>
    </w:p>
    <w:p w14:paraId="72559143">
      <w:pPr>
        <w:widowControl/>
        <w:spacing w:line="600" w:lineRule="exact"/>
        <w:ind w:firstLine="480" w:firstLineChars="150"/>
        <w:rPr>
          <w:rFonts w:eastAsia="黑体"/>
          <w:color w:val="000000"/>
          <w:kern w:val="0"/>
          <w:sz w:val="32"/>
          <w:szCs w:val="32"/>
        </w:rPr>
      </w:pPr>
      <w:r>
        <w:rPr>
          <w:rFonts w:hAnsi="黑体" w:eastAsia="黑体"/>
          <w:color w:val="000000"/>
          <w:kern w:val="0"/>
          <w:sz w:val="32"/>
          <w:szCs w:val="32"/>
        </w:rPr>
        <w:t>四、存在问题及原因分析</w:t>
      </w:r>
    </w:p>
    <w:p w14:paraId="457194D8">
      <w:pPr>
        <w:pStyle w:val="9"/>
        <w:spacing w:line="600" w:lineRule="exact"/>
        <w:ind w:firstLine="640" w:firstLineChars="200"/>
        <w:outlineLvl w:val="0"/>
        <w:rPr>
          <w:rFonts w:eastAsia="仿宋_GB2312"/>
          <w:kern w:val="2"/>
          <w:sz w:val="32"/>
          <w:szCs w:val="32"/>
        </w:rPr>
      </w:pPr>
      <w:r>
        <w:rPr>
          <w:rFonts w:hint="eastAsia" w:hAnsi="仿宋" w:eastAsia="仿宋"/>
          <w:sz w:val="32"/>
          <w:szCs w:val="32"/>
        </w:rPr>
        <w:t>1、</w:t>
      </w:r>
      <w:r>
        <w:rPr>
          <w:rFonts w:hint="eastAsia" w:eastAsia="仿宋_GB2312"/>
          <w:kern w:val="2"/>
          <w:sz w:val="32"/>
          <w:szCs w:val="32"/>
        </w:rPr>
        <w:t>在生产运营方面，随着各污水厂处理能力的逐步提升，污水处理运营管理水平需要进一步提高，运行维护工作仍需加强。</w:t>
      </w:r>
    </w:p>
    <w:p w14:paraId="6752B17E">
      <w:pPr>
        <w:pStyle w:val="9"/>
        <w:spacing w:line="600" w:lineRule="exact"/>
        <w:ind w:firstLine="640" w:firstLineChars="200"/>
        <w:outlineLvl w:val="0"/>
        <w:rPr>
          <w:rFonts w:eastAsia="仿宋_GB2312"/>
          <w:kern w:val="2"/>
          <w:sz w:val="32"/>
          <w:szCs w:val="32"/>
        </w:rPr>
      </w:pPr>
      <w:r>
        <w:rPr>
          <w:rFonts w:hint="eastAsia" w:eastAsia="仿宋_GB2312"/>
          <w:kern w:val="2"/>
          <w:sz w:val="32"/>
          <w:szCs w:val="32"/>
        </w:rPr>
        <w:t>2、个别污水处理厂化验检测能力不足，技术力量不能够较好的指导生产，需要进一步强化。</w:t>
      </w:r>
    </w:p>
    <w:p w14:paraId="50F6C9AA">
      <w:pPr>
        <w:pStyle w:val="9"/>
        <w:spacing w:line="600" w:lineRule="exact"/>
        <w:ind w:firstLine="640" w:firstLineChars="200"/>
        <w:outlineLvl w:val="0"/>
        <w:rPr>
          <w:rFonts w:eastAsia="仿宋_GB2312"/>
          <w:kern w:val="2"/>
          <w:sz w:val="32"/>
          <w:szCs w:val="32"/>
        </w:rPr>
      </w:pPr>
      <w:r>
        <w:rPr>
          <w:rFonts w:hint="eastAsia" w:eastAsia="仿宋_GB2312"/>
          <w:kern w:val="2"/>
          <w:sz w:val="32"/>
          <w:szCs w:val="32"/>
        </w:rPr>
        <w:t>3、个别污水厂进水浓度不高，影响污水处理效能。</w:t>
      </w:r>
    </w:p>
    <w:p w14:paraId="23B4030A">
      <w:pPr>
        <w:widowControl/>
        <w:spacing w:line="600" w:lineRule="exact"/>
        <w:ind w:firstLine="640" w:firstLineChars="200"/>
        <w:jc w:val="left"/>
        <w:rPr>
          <w:rFonts w:eastAsia="黑体"/>
          <w:color w:val="000000"/>
          <w:kern w:val="0"/>
          <w:sz w:val="32"/>
          <w:szCs w:val="32"/>
        </w:rPr>
      </w:pPr>
      <w:r>
        <w:rPr>
          <w:rFonts w:hAnsi="黑体" w:eastAsia="黑体"/>
          <w:color w:val="000000"/>
          <w:kern w:val="0"/>
          <w:sz w:val="32"/>
          <w:szCs w:val="32"/>
        </w:rPr>
        <w:t>五、有关建议</w:t>
      </w:r>
    </w:p>
    <w:p w14:paraId="37C66271">
      <w:pPr>
        <w:pStyle w:val="2"/>
        <w:spacing w:line="600" w:lineRule="exact"/>
        <w:ind w:firstLine="640" w:firstLineChars="200"/>
        <w:rPr>
          <w:rFonts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1、</w:t>
      </w:r>
      <w:r>
        <w:rPr>
          <w:rFonts w:hint="eastAsia" w:ascii="Times New Roman" w:hAnsi="Times New Roman" w:eastAsia="仿宋_GB2312" w:cs="Times New Roman"/>
          <w:color w:val="auto"/>
          <w:kern w:val="2"/>
          <w:sz w:val="32"/>
          <w:szCs w:val="32"/>
        </w:rPr>
        <w:t>持续提升运管水平。</w:t>
      </w:r>
      <w:r>
        <w:rPr>
          <w:rFonts w:ascii="Times New Roman" w:hAnsi="Times New Roman" w:eastAsia="仿宋_GB2312" w:cs="Times New Roman"/>
          <w:color w:val="auto"/>
          <w:kern w:val="2"/>
          <w:sz w:val="32"/>
          <w:szCs w:val="32"/>
        </w:rPr>
        <w:t>各厂要在工艺运行调控、设备维护保养等方面加大投入，强化工艺调控措施</w:t>
      </w:r>
      <w:r>
        <w:rPr>
          <w:rFonts w:hint="eastAsia" w:ascii="Times New Roman" w:hAnsi="Times New Roman" w:eastAsia="仿宋_GB2312" w:cs="Times New Roman"/>
          <w:color w:val="auto"/>
          <w:kern w:val="2"/>
          <w:sz w:val="32"/>
          <w:szCs w:val="32"/>
        </w:rPr>
        <w:t>，保证设施设备正常运行</w:t>
      </w:r>
      <w:r>
        <w:rPr>
          <w:rFonts w:ascii="Times New Roman" w:hAnsi="Times New Roman" w:eastAsia="仿宋_GB2312" w:cs="Times New Roman"/>
          <w:color w:val="auto"/>
          <w:kern w:val="2"/>
          <w:sz w:val="32"/>
          <w:szCs w:val="32"/>
        </w:rPr>
        <w:t>，同时</w:t>
      </w:r>
      <w:r>
        <w:rPr>
          <w:rFonts w:hint="eastAsia" w:ascii="Times New Roman" w:hAnsi="Times New Roman" w:eastAsia="仿宋_GB2312" w:cs="Times New Roman"/>
          <w:color w:val="auto"/>
          <w:kern w:val="2"/>
          <w:sz w:val="32"/>
          <w:szCs w:val="32"/>
        </w:rPr>
        <w:t>根据进水情况变化及时优化工艺调控，</w:t>
      </w:r>
      <w:r>
        <w:rPr>
          <w:rFonts w:ascii="Times New Roman" w:hAnsi="Times New Roman" w:eastAsia="仿宋_GB2312" w:cs="Times New Roman"/>
          <w:color w:val="auto"/>
          <w:kern w:val="2"/>
          <w:sz w:val="32"/>
          <w:szCs w:val="32"/>
        </w:rPr>
        <w:t>提升运行管理水平</w:t>
      </w:r>
      <w:r>
        <w:rPr>
          <w:rFonts w:hint="eastAsia" w:ascii="Times New Roman" w:hAnsi="Times New Roman" w:eastAsia="仿宋_GB2312" w:cs="Times New Roman"/>
          <w:color w:val="auto"/>
          <w:kern w:val="2"/>
          <w:sz w:val="32"/>
          <w:szCs w:val="32"/>
        </w:rPr>
        <w:t>，</w:t>
      </w:r>
      <w:r>
        <w:rPr>
          <w:rFonts w:ascii="Times New Roman" w:hAnsi="Times New Roman" w:eastAsia="仿宋_GB2312" w:cs="Times New Roman"/>
          <w:color w:val="auto"/>
          <w:kern w:val="2"/>
          <w:sz w:val="32"/>
          <w:szCs w:val="32"/>
        </w:rPr>
        <w:t>确保出水达标排放。</w:t>
      </w:r>
    </w:p>
    <w:p w14:paraId="74D613FD">
      <w:pPr>
        <w:pStyle w:val="2"/>
        <w:spacing w:line="600" w:lineRule="exact"/>
        <w:ind w:firstLine="640" w:firstLineChars="200"/>
        <w:rPr>
          <w:rFonts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2、夯实基础完善措施，确保安全生产运行。按照新安全生产法的要求，进一步落实安全生产责任，积极做好设备设施管理、生产工艺调控，确保“安全生产、达标排放、内部稳定”核心任务的完成。</w:t>
      </w:r>
    </w:p>
    <w:p w14:paraId="4C2F22C8">
      <w:pPr>
        <w:pStyle w:val="2"/>
        <w:spacing w:line="600" w:lineRule="exact"/>
        <w:ind w:firstLine="640" w:firstLineChars="200"/>
        <w:rPr>
          <w:rFonts w:eastAsia="黑体"/>
          <w:sz w:val="32"/>
          <w:szCs w:val="32"/>
        </w:rPr>
      </w:pPr>
      <w:r>
        <w:rPr>
          <w:rFonts w:hAnsi="黑体" w:eastAsia="黑体"/>
          <w:sz w:val="32"/>
          <w:szCs w:val="32"/>
        </w:rPr>
        <w:t>六、评价工作开展情况及其他需说明的情况</w:t>
      </w:r>
    </w:p>
    <w:p w14:paraId="179A3FF5">
      <w:pPr>
        <w:widowControl/>
        <w:spacing w:line="600" w:lineRule="exact"/>
        <w:ind w:firstLine="640" w:firstLineChars="200"/>
        <w:jc w:val="left"/>
        <w:rPr>
          <w:rFonts w:eastAsia="仿宋"/>
          <w:color w:val="000000"/>
          <w:kern w:val="0"/>
          <w:sz w:val="32"/>
          <w:szCs w:val="32"/>
        </w:rPr>
      </w:pPr>
      <w:r>
        <w:rPr>
          <w:rFonts w:hAnsi="仿宋" w:eastAsia="仿宋"/>
          <w:color w:val="000000"/>
          <w:kern w:val="0"/>
          <w:sz w:val="32"/>
          <w:szCs w:val="32"/>
        </w:rPr>
        <w:t>本次</w:t>
      </w:r>
      <w:r>
        <w:rPr>
          <w:rFonts w:eastAsia="仿宋"/>
          <w:color w:val="000000"/>
          <w:kern w:val="0"/>
          <w:sz w:val="32"/>
          <w:szCs w:val="32"/>
        </w:rPr>
        <w:t>202</w:t>
      </w:r>
      <w:r>
        <w:rPr>
          <w:rFonts w:hint="eastAsia" w:eastAsia="仿宋"/>
          <w:color w:val="000000"/>
          <w:kern w:val="0"/>
          <w:sz w:val="32"/>
          <w:szCs w:val="32"/>
        </w:rPr>
        <w:t>2</w:t>
      </w:r>
      <w:r>
        <w:rPr>
          <w:rFonts w:hAnsi="仿宋" w:eastAsia="仿宋"/>
          <w:color w:val="000000"/>
          <w:kern w:val="0"/>
          <w:sz w:val="32"/>
          <w:szCs w:val="32"/>
        </w:rPr>
        <w:t>年</w:t>
      </w:r>
      <w:r>
        <w:rPr>
          <w:rFonts w:hAnsi="仿宋" w:eastAsia="仿宋"/>
          <w:spacing w:val="15"/>
          <w:sz w:val="32"/>
          <w:szCs w:val="32"/>
        </w:rPr>
        <w:t>污水处理运营维护项目</w:t>
      </w:r>
      <w:r>
        <w:rPr>
          <w:rFonts w:hAnsi="仿宋" w:eastAsia="仿宋"/>
          <w:color w:val="000000"/>
          <w:kern w:val="0"/>
          <w:sz w:val="32"/>
          <w:szCs w:val="32"/>
        </w:rPr>
        <w:t>绩效自评价是在南京市水务局的统一领导下，根据《中华人民共和国预算法》、财政部《财政支出绩效评价管理暂行办法》、《江苏省财政专项资金绩效管理办法》、《江苏省省级水利发展资金绩效管理暂行办法》（苏财农〔</w:t>
      </w:r>
      <w:r>
        <w:rPr>
          <w:rFonts w:eastAsia="仿宋"/>
          <w:color w:val="000000"/>
          <w:kern w:val="0"/>
          <w:sz w:val="32"/>
          <w:szCs w:val="32"/>
        </w:rPr>
        <w:t>2020</w:t>
      </w:r>
      <w:r>
        <w:rPr>
          <w:rFonts w:hAnsi="仿宋" w:eastAsia="仿宋"/>
          <w:color w:val="000000"/>
          <w:kern w:val="0"/>
          <w:sz w:val="32"/>
          <w:szCs w:val="32"/>
        </w:rPr>
        <w:t>〕</w:t>
      </w:r>
      <w:r>
        <w:rPr>
          <w:rFonts w:eastAsia="仿宋"/>
          <w:color w:val="000000"/>
          <w:kern w:val="0"/>
          <w:sz w:val="32"/>
          <w:szCs w:val="32"/>
        </w:rPr>
        <w:t>94</w:t>
      </w:r>
      <w:r>
        <w:rPr>
          <w:rFonts w:hAnsi="仿宋" w:eastAsia="仿宋"/>
          <w:color w:val="000000"/>
          <w:kern w:val="0"/>
          <w:sz w:val="32"/>
          <w:szCs w:val="32"/>
        </w:rPr>
        <w:t>号）的要求对本单位</w:t>
      </w:r>
      <w:r>
        <w:rPr>
          <w:rFonts w:eastAsia="仿宋"/>
          <w:color w:val="000000"/>
          <w:kern w:val="0"/>
          <w:sz w:val="32"/>
          <w:szCs w:val="32"/>
        </w:rPr>
        <w:t>202</w:t>
      </w:r>
      <w:r>
        <w:rPr>
          <w:rFonts w:hint="eastAsia" w:eastAsia="仿宋"/>
          <w:color w:val="000000"/>
          <w:kern w:val="0"/>
          <w:sz w:val="32"/>
          <w:szCs w:val="32"/>
        </w:rPr>
        <w:t>2</w:t>
      </w:r>
      <w:r>
        <w:rPr>
          <w:rFonts w:hAnsi="仿宋" w:eastAsia="仿宋"/>
          <w:color w:val="000000"/>
          <w:kern w:val="0"/>
          <w:sz w:val="32"/>
          <w:szCs w:val="32"/>
        </w:rPr>
        <w:t>年</w:t>
      </w:r>
      <w:r>
        <w:rPr>
          <w:rFonts w:hAnsi="仿宋" w:eastAsia="仿宋"/>
          <w:spacing w:val="15"/>
          <w:sz w:val="32"/>
          <w:szCs w:val="32"/>
        </w:rPr>
        <w:t>污水处理运营维护项目</w:t>
      </w:r>
      <w:r>
        <w:rPr>
          <w:rFonts w:hAnsi="仿宋" w:eastAsia="仿宋"/>
          <w:color w:val="000000"/>
          <w:kern w:val="0"/>
          <w:sz w:val="32"/>
          <w:szCs w:val="32"/>
        </w:rPr>
        <w:t>进行的一次绩效自评价。我单位对现行的关于专项资金管理方面的法律、法规和规章进行了学习，并就工作开展制定了方案。</w:t>
      </w:r>
    </w:p>
    <w:p w14:paraId="7DBB9AAA">
      <w:pPr>
        <w:widowControl/>
        <w:spacing w:line="600" w:lineRule="exact"/>
        <w:ind w:firstLine="640" w:firstLineChars="200"/>
        <w:jc w:val="left"/>
        <w:rPr>
          <w:rFonts w:eastAsia="仿宋"/>
          <w:color w:val="000000"/>
          <w:kern w:val="0"/>
          <w:sz w:val="32"/>
          <w:szCs w:val="32"/>
        </w:rPr>
      </w:pPr>
      <w:r>
        <w:rPr>
          <w:rFonts w:eastAsia="仿宋"/>
          <w:color w:val="000000"/>
          <w:kern w:val="0"/>
          <w:sz w:val="32"/>
          <w:szCs w:val="32"/>
        </w:rPr>
        <w:t>1</w:t>
      </w:r>
      <w:r>
        <w:rPr>
          <w:rFonts w:hAnsi="仿宋" w:eastAsia="仿宋"/>
          <w:color w:val="000000"/>
          <w:kern w:val="0"/>
          <w:sz w:val="32"/>
          <w:szCs w:val="32"/>
        </w:rPr>
        <w:t>、组成工作组。进行前期准备工作并制定绩效评价工作方案。</w:t>
      </w:r>
    </w:p>
    <w:p w14:paraId="0AE22C4F">
      <w:pPr>
        <w:widowControl/>
        <w:spacing w:line="600" w:lineRule="exact"/>
        <w:ind w:firstLine="640" w:firstLineChars="200"/>
        <w:jc w:val="left"/>
        <w:rPr>
          <w:rFonts w:eastAsia="仿宋"/>
          <w:color w:val="000000"/>
          <w:kern w:val="0"/>
          <w:sz w:val="32"/>
          <w:szCs w:val="32"/>
        </w:rPr>
      </w:pPr>
      <w:r>
        <w:rPr>
          <w:rFonts w:eastAsia="仿宋"/>
          <w:color w:val="000000"/>
          <w:kern w:val="0"/>
          <w:sz w:val="32"/>
          <w:szCs w:val="32"/>
        </w:rPr>
        <w:t>2</w:t>
      </w:r>
      <w:r>
        <w:rPr>
          <w:rFonts w:hAnsi="仿宋" w:eastAsia="仿宋"/>
          <w:color w:val="000000"/>
          <w:kern w:val="0"/>
          <w:sz w:val="32"/>
          <w:szCs w:val="32"/>
        </w:rPr>
        <w:t>、确定</w:t>
      </w:r>
      <w:r>
        <w:rPr>
          <w:rFonts w:eastAsia="仿宋"/>
          <w:color w:val="000000"/>
          <w:kern w:val="0"/>
          <w:sz w:val="32"/>
          <w:szCs w:val="32"/>
        </w:rPr>
        <w:t>202</w:t>
      </w:r>
      <w:r>
        <w:rPr>
          <w:rFonts w:hint="eastAsia" w:eastAsia="仿宋"/>
          <w:color w:val="000000"/>
          <w:kern w:val="0"/>
          <w:sz w:val="32"/>
          <w:szCs w:val="32"/>
        </w:rPr>
        <w:t>2</w:t>
      </w:r>
      <w:r>
        <w:rPr>
          <w:rFonts w:hAnsi="仿宋" w:eastAsia="仿宋"/>
          <w:color w:val="000000"/>
          <w:kern w:val="0"/>
          <w:sz w:val="32"/>
          <w:szCs w:val="32"/>
        </w:rPr>
        <w:t>年绩效自评价项目，按照市水务局的要求开展专项资金绩效评价工作。</w:t>
      </w:r>
    </w:p>
    <w:p w14:paraId="744D1FFC">
      <w:pPr>
        <w:widowControl/>
        <w:spacing w:line="600" w:lineRule="exact"/>
        <w:ind w:firstLine="640" w:firstLineChars="200"/>
        <w:jc w:val="left"/>
        <w:rPr>
          <w:rFonts w:eastAsia="仿宋"/>
          <w:color w:val="000000"/>
          <w:kern w:val="0"/>
          <w:sz w:val="32"/>
          <w:szCs w:val="32"/>
        </w:rPr>
      </w:pPr>
      <w:r>
        <w:rPr>
          <w:rFonts w:eastAsia="仿宋"/>
          <w:color w:val="000000"/>
          <w:kern w:val="0"/>
          <w:sz w:val="32"/>
          <w:szCs w:val="32"/>
        </w:rPr>
        <w:t>3</w:t>
      </w:r>
      <w:r>
        <w:rPr>
          <w:rFonts w:hAnsi="仿宋" w:eastAsia="仿宋"/>
          <w:color w:val="000000"/>
          <w:kern w:val="0"/>
          <w:sz w:val="32"/>
          <w:szCs w:val="32"/>
        </w:rPr>
        <w:t>、实地调查。对每一个项目进行考核，了解</w:t>
      </w:r>
      <w:r>
        <w:rPr>
          <w:rFonts w:hint="eastAsia" w:hAnsi="仿宋" w:eastAsia="仿宋"/>
          <w:color w:val="000000"/>
          <w:kern w:val="0"/>
          <w:sz w:val="32"/>
          <w:szCs w:val="32"/>
        </w:rPr>
        <w:t>污水处理厂运营</w:t>
      </w:r>
      <w:r>
        <w:rPr>
          <w:rFonts w:hAnsi="仿宋" w:eastAsia="仿宋"/>
          <w:color w:val="000000"/>
          <w:kern w:val="0"/>
          <w:sz w:val="32"/>
          <w:szCs w:val="32"/>
        </w:rPr>
        <w:t>单位管理和项目资金使用的情况，听取他们对项目支出绩效评价的意见和建议，收集项目相关资料。</w:t>
      </w:r>
    </w:p>
    <w:p w14:paraId="472B9214">
      <w:pPr>
        <w:widowControl/>
        <w:spacing w:line="600" w:lineRule="exact"/>
        <w:ind w:firstLine="640" w:firstLineChars="200"/>
        <w:jc w:val="left"/>
        <w:rPr>
          <w:rFonts w:eastAsia="仿宋"/>
          <w:color w:val="000000"/>
          <w:kern w:val="0"/>
          <w:sz w:val="32"/>
          <w:szCs w:val="32"/>
        </w:rPr>
      </w:pPr>
      <w:r>
        <w:rPr>
          <w:rFonts w:eastAsia="仿宋"/>
          <w:color w:val="000000"/>
          <w:kern w:val="0"/>
          <w:sz w:val="32"/>
          <w:szCs w:val="32"/>
        </w:rPr>
        <w:t>4</w:t>
      </w:r>
      <w:r>
        <w:rPr>
          <w:rFonts w:hAnsi="仿宋" w:eastAsia="仿宋"/>
          <w:color w:val="000000"/>
          <w:kern w:val="0"/>
          <w:sz w:val="32"/>
          <w:szCs w:val="32"/>
        </w:rPr>
        <w:t>、分析评价。对绩效评价指标进行研究，咨询有关专家，制定项目支出绩效评价个性指标并进行评分。</w:t>
      </w:r>
    </w:p>
    <w:p w14:paraId="13CA84F1">
      <w:pPr>
        <w:widowControl/>
        <w:spacing w:line="600" w:lineRule="exact"/>
        <w:ind w:firstLine="640" w:firstLineChars="200"/>
        <w:jc w:val="left"/>
        <w:rPr>
          <w:rFonts w:eastAsia="仿宋"/>
          <w:color w:val="000000"/>
          <w:kern w:val="0"/>
          <w:sz w:val="32"/>
          <w:szCs w:val="32"/>
        </w:rPr>
      </w:pPr>
      <w:r>
        <w:rPr>
          <w:rFonts w:eastAsia="仿宋"/>
          <w:color w:val="000000"/>
          <w:kern w:val="0"/>
          <w:sz w:val="32"/>
          <w:szCs w:val="32"/>
        </w:rPr>
        <w:t>5</w:t>
      </w:r>
      <w:r>
        <w:rPr>
          <w:rFonts w:hAnsi="仿宋" w:eastAsia="仿宋"/>
          <w:color w:val="000000"/>
          <w:kern w:val="0"/>
          <w:sz w:val="32"/>
          <w:szCs w:val="32"/>
        </w:rPr>
        <w:t>、编写报告。按规定拟定绩效评价报告。</w:t>
      </w:r>
    </w:p>
    <w:p w14:paraId="67264CCE">
      <w:pPr>
        <w:spacing w:line="560" w:lineRule="exact"/>
        <w:rPr>
          <w:rFonts w:eastAsia="仿宋"/>
          <w:kern w:val="0"/>
          <w:sz w:val="24"/>
        </w:rPr>
      </w:pPr>
    </w:p>
    <w:p w14:paraId="7561CBCD">
      <w:pPr>
        <w:spacing w:line="560" w:lineRule="exact"/>
        <w:rPr>
          <w:rFonts w:eastAsia="仿宋"/>
          <w:color w:val="000000"/>
          <w:kern w:val="0"/>
          <w:sz w:val="32"/>
          <w:szCs w:val="32"/>
        </w:rPr>
      </w:pPr>
    </w:p>
    <w:p w14:paraId="1C9C43CD">
      <w:pPr>
        <w:spacing w:line="560" w:lineRule="exact"/>
        <w:ind w:firstLine="640" w:firstLineChars="200"/>
        <w:rPr>
          <w:rFonts w:eastAsia="仿宋"/>
          <w:color w:val="000000"/>
          <w:kern w:val="0"/>
          <w:sz w:val="32"/>
          <w:szCs w:val="32"/>
        </w:rPr>
      </w:pPr>
      <w:r>
        <w:rPr>
          <w:rFonts w:hAnsi="仿宋" w:eastAsia="仿宋"/>
          <w:color w:val="000000"/>
          <w:kern w:val="0"/>
          <w:sz w:val="32"/>
          <w:szCs w:val="32"/>
        </w:rPr>
        <w:t>附件：指标体系得分情况</w:t>
      </w:r>
    </w:p>
    <w:p w14:paraId="610982EA">
      <w:pPr>
        <w:pStyle w:val="2"/>
        <w:spacing w:line="560" w:lineRule="exact"/>
        <w:rPr>
          <w:rFonts w:ascii="Times New Roman" w:hAnsi="Times New Roman" w:eastAsia="仿宋_GB2312" w:cs="Times New Roman"/>
          <w:color w:val="auto"/>
          <w:kern w:val="2"/>
          <w:sz w:val="32"/>
          <w:szCs w:val="32"/>
        </w:rPr>
        <w:sectPr>
          <w:footerReference r:id="rId3" w:type="default"/>
          <w:pgSz w:w="11906" w:h="16838"/>
          <w:pgMar w:top="1440" w:right="1800" w:bottom="1440" w:left="1800" w:header="851" w:footer="992" w:gutter="0"/>
          <w:cols w:space="720" w:num="1"/>
          <w:docGrid w:type="lines" w:linePitch="312" w:charSpace="0"/>
        </w:sectPr>
      </w:pPr>
    </w:p>
    <w:p w14:paraId="7E0854C9">
      <w:pPr>
        <w:pStyle w:val="3"/>
        <w:spacing w:line="240" w:lineRule="auto"/>
        <w:ind w:firstLine="562"/>
        <w:jc w:val="center"/>
        <w:rPr>
          <w:rFonts w:ascii="Times New Roman" w:hAnsi="Times New Roman" w:cs="Times New Roman"/>
          <w:b/>
        </w:rPr>
      </w:pPr>
      <w:r>
        <w:rPr>
          <w:rFonts w:ascii="Times New Roman" w:cs="Times New Roman"/>
          <w:b/>
        </w:rPr>
        <w:t>附件：</w:t>
      </w:r>
      <w:bookmarkStart w:id="0" w:name="_Hlk49172925"/>
      <w:r>
        <w:rPr>
          <w:rFonts w:ascii="Times New Roman" w:hAnsi="Times New Roman" w:cs="Times New Roman"/>
          <w:b/>
        </w:rPr>
        <w:t>202</w:t>
      </w:r>
      <w:r>
        <w:rPr>
          <w:rFonts w:hint="eastAsia" w:ascii="Times New Roman" w:hAnsi="Times New Roman" w:cs="Times New Roman"/>
          <w:b/>
        </w:rPr>
        <w:t>2</w:t>
      </w:r>
      <w:r>
        <w:rPr>
          <w:rFonts w:ascii="Times New Roman" w:cs="Times New Roman"/>
          <w:b/>
        </w:rPr>
        <w:t>年污水处理运营维护专项资金绩效评价指标评分表</w:t>
      </w:r>
      <w:bookmarkEnd w:id="0"/>
    </w:p>
    <w:tbl>
      <w:tblPr>
        <w:tblStyle w:val="6"/>
        <w:tblW w:w="14652" w:type="dxa"/>
        <w:jc w:val="center"/>
        <w:tblLayout w:type="autofit"/>
        <w:tblCellMar>
          <w:top w:w="0" w:type="dxa"/>
          <w:left w:w="108" w:type="dxa"/>
          <w:bottom w:w="0" w:type="dxa"/>
          <w:right w:w="108" w:type="dxa"/>
        </w:tblCellMar>
      </w:tblPr>
      <w:tblGrid>
        <w:gridCol w:w="1044"/>
        <w:gridCol w:w="1242"/>
        <w:gridCol w:w="1451"/>
        <w:gridCol w:w="1985"/>
        <w:gridCol w:w="1701"/>
        <w:gridCol w:w="533"/>
        <w:gridCol w:w="4082"/>
        <w:gridCol w:w="1888"/>
        <w:gridCol w:w="726"/>
      </w:tblGrid>
      <w:tr w14:paraId="21B43089">
        <w:tblPrEx>
          <w:tblCellMar>
            <w:top w:w="0" w:type="dxa"/>
            <w:left w:w="108" w:type="dxa"/>
            <w:bottom w:w="0" w:type="dxa"/>
            <w:right w:w="108" w:type="dxa"/>
          </w:tblCellMar>
        </w:tblPrEx>
        <w:trPr>
          <w:trHeight w:val="657" w:hRule="atLeast"/>
          <w:tblHeader/>
          <w:jc w:val="center"/>
        </w:trPr>
        <w:tc>
          <w:tcPr>
            <w:tcW w:w="1044" w:type="dxa"/>
            <w:tcBorders>
              <w:top w:val="single" w:color="auto" w:sz="4" w:space="0"/>
              <w:left w:val="single" w:color="auto" w:sz="4" w:space="0"/>
              <w:bottom w:val="nil"/>
              <w:right w:val="single" w:color="auto" w:sz="4" w:space="0"/>
            </w:tcBorders>
            <w:shd w:val="clear" w:color="auto" w:fill="auto"/>
            <w:vAlign w:val="center"/>
          </w:tcPr>
          <w:p w14:paraId="5F2CDDD0">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一级指标</w:t>
            </w:r>
          </w:p>
        </w:tc>
        <w:tc>
          <w:tcPr>
            <w:tcW w:w="1242" w:type="dxa"/>
            <w:tcBorders>
              <w:top w:val="single" w:color="auto" w:sz="4" w:space="0"/>
              <w:left w:val="nil"/>
              <w:bottom w:val="nil"/>
              <w:right w:val="single" w:color="auto" w:sz="4" w:space="0"/>
            </w:tcBorders>
            <w:shd w:val="clear" w:color="auto" w:fill="auto"/>
            <w:vAlign w:val="center"/>
          </w:tcPr>
          <w:p w14:paraId="30D2A09F">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二级指标</w:t>
            </w:r>
          </w:p>
        </w:tc>
        <w:tc>
          <w:tcPr>
            <w:tcW w:w="1451" w:type="dxa"/>
            <w:tcBorders>
              <w:top w:val="single" w:color="auto" w:sz="4" w:space="0"/>
              <w:left w:val="nil"/>
              <w:bottom w:val="nil"/>
              <w:right w:val="single" w:color="auto" w:sz="4" w:space="0"/>
            </w:tcBorders>
            <w:shd w:val="clear" w:color="auto" w:fill="auto"/>
            <w:vAlign w:val="center"/>
          </w:tcPr>
          <w:p w14:paraId="52A7DCA6">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三级指标</w:t>
            </w:r>
          </w:p>
        </w:tc>
        <w:tc>
          <w:tcPr>
            <w:tcW w:w="1985" w:type="dxa"/>
            <w:tcBorders>
              <w:top w:val="single" w:color="auto" w:sz="4" w:space="0"/>
              <w:left w:val="nil"/>
              <w:bottom w:val="nil"/>
              <w:right w:val="single" w:color="auto" w:sz="4" w:space="0"/>
            </w:tcBorders>
            <w:shd w:val="clear" w:color="auto" w:fill="auto"/>
            <w:vAlign w:val="center"/>
          </w:tcPr>
          <w:p w14:paraId="5B38B188">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指标值</w:t>
            </w:r>
          </w:p>
        </w:tc>
        <w:tc>
          <w:tcPr>
            <w:tcW w:w="1701" w:type="dxa"/>
            <w:tcBorders>
              <w:top w:val="single" w:color="auto" w:sz="4" w:space="0"/>
              <w:left w:val="nil"/>
              <w:bottom w:val="nil"/>
              <w:right w:val="single" w:color="auto" w:sz="4" w:space="0"/>
            </w:tcBorders>
            <w:shd w:val="clear" w:color="auto" w:fill="auto"/>
            <w:vAlign w:val="center"/>
          </w:tcPr>
          <w:p w14:paraId="28C3AEA1">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指标解释</w:t>
            </w:r>
          </w:p>
        </w:tc>
        <w:tc>
          <w:tcPr>
            <w:tcW w:w="533" w:type="dxa"/>
            <w:tcBorders>
              <w:top w:val="single" w:color="auto" w:sz="4" w:space="0"/>
              <w:left w:val="nil"/>
              <w:bottom w:val="nil"/>
              <w:right w:val="single" w:color="auto" w:sz="4" w:space="0"/>
            </w:tcBorders>
            <w:shd w:val="clear" w:color="auto" w:fill="auto"/>
            <w:vAlign w:val="center"/>
          </w:tcPr>
          <w:p w14:paraId="1290F0A3">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分值</w:t>
            </w:r>
          </w:p>
        </w:tc>
        <w:tc>
          <w:tcPr>
            <w:tcW w:w="4082" w:type="dxa"/>
            <w:tcBorders>
              <w:top w:val="single" w:color="auto" w:sz="4" w:space="0"/>
              <w:left w:val="nil"/>
              <w:bottom w:val="nil"/>
              <w:right w:val="single" w:color="auto" w:sz="4" w:space="0"/>
            </w:tcBorders>
            <w:shd w:val="clear" w:color="auto" w:fill="auto"/>
            <w:vAlign w:val="center"/>
          </w:tcPr>
          <w:p w14:paraId="09E13E13">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评分标准</w:t>
            </w:r>
          </w:p>
        </w:tc>
        <w:tc>
          <w:tcPr>
            <w:tcW w:w="1888" w:type="dxa"/>
            <w:tcBorders>
              <w:top w:val="single" w:color="auto" w:sz="4" w:space="0"/>
              <w:left w:val="nil"/>
              <w:bottom w:val="single" w:color="auto" w:sz="4" w:space="0"/>
              <w:right w:val="single" w:color="auto" w:sz="4" w:space="0"/>
            </w:tcBorders>
            <w:shd w:val="clear" w:color="auto" w:fill="auto"/>
            <w:vAlign w:val="center"/>
          </w:tcPr>
          <w:p w14:paraId="2BFB2F62">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实际值</w:t>
            </w:r>
          </w:p>
        </w:tc>
        <w:tc>
          <w:tcPr>
            <w:tcW w:w="726" w:type="dxa"/>
            <w:tcBorders>
              <w:top w:val="single" w:color="auto" w:sz="4" w:space="0"/>
              <w:left w:val="nil"/>
              <w:bottom w:val="single" w:color="auto" w:sz="4" w:space="0"/>
              <w:right w:val="single" w:color="auto" w:sz="4" w:space="0"/>
            </w:tcBorders>
            <w:shd w:val="clear" w:color="auto" w:fill="auto"/>
            <w:vAlign w:val="center"/>
          </w:tcPr>
          <w:p w14:paraId="3E961CF9">
            <w:pPr>
              <w:widowControl/>
              <w:jc w:val="center"/>
              <w:rPr>
                <w:rFonts w:ascii="仿宋_GB2312" w:hAnsi="宋体" w:eastAsia="仿宋_GB2312" w:cs="宋体"/>
                <w:b/>
                <w:bCs/>
                <w:kern w:val="0"/>
                <w:sz w:val="20"/>
              </w:rPr>
            </w:pPr>
            <w:r>
              <w:rPr>
                <w:rFonts w:hint="eastAsia" w:ascii="仿宋_GB2312" w:hAnsi="宋体" w:eastAsia="仿宋_GB2312" w:cs="宋体"/>
                <w:b/>
                <w:bCs/>
                <w:kern w:val="0"/>
                <w:sz w:val="20"/>
              </w:rPr>
              <w:t>得分</w:t>
            </w:r>
          </w:p>
        </w:tc>
      </w:tr>
      <w:tr w14:paraId="27E25716">
        <w:tblPrEx>
          <w:tblCellMar>
            <w:top w:w="0" w:type="dxa"/>
            <w:left w:w="108" w:type="dxa"/>
            <w:bottom w:w="0" w:type="dxa"/>
            <w:right w:w="108" w:type="dxa"/>
          </w:tblCellMar>
        </w:tblPrEx>
        <w:trPr>
          <w:trHeight w:val="1350" w:hRule="atLeast"/>
          <w:jc w:val="center"/>
        </w:trPr>
        <w:tc>
          <w:tcPr>
            <w:tcW w:w="10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D31D8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决策</w:t>
            </w:r>
          </w:p>
        </w:tc>
        <w:tc>
          <w:tcPr>
            <w:tcW w:w="1242" w:type="dxa"/>
            <w:tcBorders>
              <w:top w:val="single" w:color="auto" w:sz="4" w:space="0"/>
              <w:left w:val="nil"/>
              <w:bottom w:val="single" w:color="auto" w:sz="4" w:space="0"/>
              <w:right w:val="single" w:color="auto" w:sz="4" w:space="0"/>
            </w:tcBorders>
            <w:shd w:val="clear" w:color="auto" w:fill="auto"/>
            <w:vAlign w:val="center"/>
          </w:tcPr>
          <w:p w14:paraId="181364F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项目立项</w:t>
            </w:r>
          </w:p>
        </w:tc>
        <w:tc>
          <w:tcPr>
            <w:tcW w:w="1451" w:type="dxa"/>
            <w:tcBorders>
              <w:top w:val="single" w:color="auto" w:sz="4" w:space="0"/>
              <w:left w:val="nil"/>
              <w:bottom w:val="single" w:color="auto" w:sz="4" w:space="0"/>
              <w:right w:val="single" w:color="auto" w:sz="4" w:space="0"/>
            </w:tcBorders>
            <w:shd w:val="clear" w:color="auto" w:fill="auto"/>
            <w:vAlign w:val="center"/>
          </w:tcPr>
          <w:p w14:paraId="45289FF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立项程序充分、规范</w:t>
            </w:r>
          </w:p>
        </w:tc>
        <w:tc>
          <w:tcPr>
            <w:tcW w:w="1985" w:type="dxa"/>
            <w:tcBorders>
              <w:top w:val="single" w:color="auto" w:sz="4" w:space="0"/>
              <w:left w:val="nil"/>
              <w:bottom w:val="single" w:color="auto" w:sz="4" w:space="0"/>
              <w:right w:val="single" w:color="auto" w:sz="4" w:space="0"/>
            </w:tcBorders>
            <w:shd w:val="clear" w:color="auto" w:fill="auto"/>
            <w:vAlign w:val="center"/>
          </w:tcPr>
          <w:p w14:paraId="05B9DB3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项目立项依据充分，项目立项经过可行性研究、专家论证等程序，立项程序规范</w:t>
            </w:r>
          </w:p>
        </w:tc>
        <w:tc>
          <w:tcPr>
            <w:tcW w:w="1701" w:type="dxa"/>
            <w:tcBorders>
              <w:top w:val="single" w:color="auto" w:sz="4" w:space="0"/>
              <w:left w:val="nil"/>
              <w:bottom w:val="single" w:color="auto" w:sz="4" w:space="0"/>
              <w:right w:val="single" w:color="auto" w:sz="4" w:space="0"/>
            </w:tcBorders>
            <w:shd w:val="clear" w:color="auto" w:fill="auto"/>
            <w:vAlign w:val="center"/>
          </w:tcPr>
          <w:p w14:paraId="5BE2C184">
            <w:pPr>
              <w:widowControl/>
              <w:jc w:val="center"/>
              <w:rPr>
                <w:rFonts w:ascii="仿宋_GB2312" w:hAnsi="宋体" w:eastAsia="仿宋_GB2312" w:cs="宋体"/>
                <w:color w:val="000000"/>
                <w:kern w:val="0"/>
                <w:sz w:val="20"/>
              </w:rPr>
            </w:pPr>
            <w:r>
              <w:rPr>
                <w:rFonts w:ascii="仿宋_GB2312" w:hAnsi="宋体" w:eastAsia="仿宋_GB2312" w:cs="宋体"/>
                <w:color w:val="000000"/>
                <w:kern w:val="0"/>
                <w:sz w:val="20"/>
              </w:rPr>
              <w:t>考量</w:t>
            </w:r>
            <w:r>
              <w:rPr>
                <w:rFonts w:hint="eastAsia" w:ascii="仿宋_GB2312" w:hAnsi="宋体" w:eastAsia="仿宋_GB2312" w:cs="宋体"/>
                <w:color w:val="000000"/>
                <w:kern w:val="0"/>
                <w:sz w:val="20"/>
              </w:rPr>
              <w:t>立项程序充分、规范</w:t>
            </w:r>
          </w:p>
        </w:tc>
        <w:tc>
          <w:tcPr>
            <w:tcW w:w="533" w:type="dxa"/>
            <w:tcBorders>
              <w:top w:val="single" w:color="auto" w:sz="4" w:space="0"/>
              <w:left w:val="nil"/>
              <w:bottom w:val="single" w:color="auto" w:sz="4" w:space="0"/>
              <w:right w:val="single" w:color="auto" w:sz="4" w:space="0"/>
            </w:tcBorders>
            <w:shd w:val="clear" w:color="auto" w:fill="auto"/>
            <w:vAlign w:val="center"/>
          </w:tcPr>
          <w:p w14:paraId="3C835E0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2</w:t>
            </w:r>
          </w:p>
        </w:tc>
        <w:tc>
          <w:tcPr>
            <w:tcW w:w="4082" w:type="dxa"/>
            <w:tcBorders>
              <w:top w:val="single" w:color="auto" w:sz="4" w:space="0"/>
              <w:left w:val="nil"/>
              <w:bottom w:val="single" w:color="auto" w:sz="4" w:space="0"/>
              <w:right w:val="single" w:color="auto" w:sz="4" w:space="0"/>
            </w:tcBorders>
            <w:shd w:val="clear" w:color="auto" w:fill="auto"/>
            <w:vAlign w:val="center"/>
          </w:tcPr>
          <w:p w14:paraId="3A0727C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项目申请、设立等过程符合相关立项充分、规范得2分，否则每发现一处不符合规范扣减20%权重分，扣完为止。</w:t>
            </w:r>
          </w:p>
        </w:tc>
        <w:tc>
          <w:tcPr>
            <w:tcW w:w="1888" w:type="dxa"/>
            <w:tcBorders>
              <w:top w:val="single" w:color="auto" w:sz="4" w:space="0"/>
              <w:left w:val="nil"/>
              <w:bottom w:val="single" w:color="auto" w:sz="4" w:space="0"/>
              <w:right w:val="single" w:color="auto" w:sz="4" w:space="0"/>
            </w:tcBorders>
            <w:shd w:val="clear" w:color="auto" w:fill="auto"/>
            <w:vAlign w:val="center"/>
          </w:tcPr>
          <w:p w14:paraId="179D20FD">
            <w:pPr>
              <w:widowControl/>
              <w:jc w:val="center"/>
              <w:rPr>
                <w:rFonts w:ascii="仿宋_GB2312" w:hAnsi="宋体" w:eastAsia="仿宋_GB2312" w:cs="宋体"/>
                <w:color w:val="000000"/>
                <w:kern w:val="0"/>
                <w:sz w:val="20"/>
              </w:rPr>
            </w:pPr>
            <w:r>
              <w:rPr>
                <w:rFonts w:ascii="仿宋_GB2312" w:hAnsi="宋体" w:eastAsia="仿宋_GB2312" w:cs="宋体"/>
                <w:color w:val="000000"/>
                <w:kern w:val="0"/>
                <w:sz w:val="20"/>
              </w:rPr>
              <w:t>充分</w:t>
            </w:r>
            <w:r>
              <w:rPr>
                <w:rFonts w:hint="eastAsia" w:ascii="仿宋_GB2312" w:hAnsi="宋体" w:eastAsia="仿宋_GB2312" w:cs="宋体"/>
                <w:color w:val="000000"/>
                <w:kern w:val="0"/>
                <w:sz w:val="20"/>
              </w:rPr>
              <w:t>、</w:t>
            </w:r>
            <w:r>
              <w:rPr>
                <w:rFonts w:ascii="仿宋_GB2312" w:hAnsi="宋体" w:eastAsia="仿宋_GB2312" w:cs="宋体"/>
                <w:color w:val="000000"/>
                <w:kern w:val="0"/>
                <w:sz w:val="20"/>
              </w:rPr>
              <w:t>规范</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1F2797F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2</w:t>
            </w:r>
          </w:p>
        </w:tc>
      </w:tr>
      <w:tr w14:paraId="082B13AD">
        <w:tblPrEx>
          <w:tblCellMar>
            <w:top w:w="0" w:type="dxa"/>
            <w:left w:w="108" w:type="dxa"/>
            <w:bottom w:w="0" w:type="dxa"/>
            <w:right w:w="108" w:type="dxa"/>
          </w:tblCellMar>
        </w:tblPrEx>
        <w:trPr>
          <w:trHeight w:val="1335" w:hRule="atLeast"/>
          <w:jc w:val="center"/>
        </w:trPr>
        <w:tc>
          <w:tcPr>
            <w:tcW w:w="1044" w:type="dxa"/>
            <w:vMerge w:val="continue"/>
            <w:tcBorders>
              <w:top w:val="single" w:color="auto" w:sz="4" w:space="0"/>
              <w:left w:val="single" w:color="auto" w:sz="4" w:space="0"/>
              <w:bottom w:val="single" w:color="auto" w:sz="4" w:space="0"/>
              <w:right w:val="single" w:color="auto" w:sz="4" w:space="0"/>
            </w:tcBorders>
            <w:vAlign w:val="center"/>
          </w:tcPr>
          <w:p w14:paraId="30B6897F">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7DDE616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资金分配</w:t>
            </w:r>
          </w:p>
        </w:tc>
        <w:tc>
          <w:tcPr>
            <w:tcW w:w="1451" w:type="dxa"/>
            <w:tcBorders>
              <w:top w:val="nil"/>
              <w:left w:val="nil"/>
              <w:bottom w:val="single" w:color="auto" w:sz="4" w:space="0"/>
              <w:right w:val="single" w:color="auto" w:sz="4" w:space="0"/>
            </w:tcBorders>
            <w:shd w:val="clear" w:color="auto" w:fill="auto"/>
            <w:vAlign w:val="center"/>
          </w:tcPr>
          <w:p w14:paraId="08F4009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资金执行率</w:t>
            </w:r>
          </w:p>
        </w:tc>
        <w:tc>
          <w:tcPr>
            <w:tcW w:w="1985" w:type="dxa"/>
            <w:tcBorders>
              <w:top w:val="nil"/>
              <w:left w:val="nil"/>
              <w:bottom w:val="single" w:color="auto" w:sz="4" w:space="0"/>
              <w:right w:val="single" w:color="auto" w:sz="4" w:space="0"/>
            </w:tcBorders>
            <w:shd w:val="clear" w:color="auto" w:fill="auto"/>
            <w:vAlign w:val="center"/>
          </w:tcPr>
          <w:p w14:paraId="07FAEAE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90%</w:t>
            </w:r>
          </w:p>
        </w:tc>
        <w:tc>
          <w:tcPr>
            <w:tcW w:w="1701" w:type="dxa"/>
            <w:tcBorders>
              <w:top w:val="nil"/>
              <w:left w:val="nil"/>
              <w:bottom w:val="single" w:color="auto" w:sz="4" w:space="0"/>
              <w:right w:val="single" w:color="auto" w:sz="4" w:space="0"/>
            </w:tcBorders>
            <w:shd w:val="clear" w:color="auto" w:fill="auto"/>
            <w:vAlign w:val="center"/>
          </w:tcPr>
          <w:p w14:paraId="4B618F8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考量资金拨付情况</w:t>
            </w:r>
          </w:p>
        </w:tc>
        <w:tc>
          <w:tcPr>
            <w:tcW w:w="533" w:type="dxa"/>
            <w:tcBorders>
              <w:top w:val="nil"/>
              <w:left w:val="nil"/>
              <w:bottom w:val="single" w:color="auto" w:sz="4" w:space="0"/>
              <w:right w:val="single" w:color="auto" w:sz="4" w:space="0"/>
            </w:tcBorders>
            <w:shd w:val="clear" w:color="auto" w:fill="auto"/>
            <w:vAlign w:val="center"/>
          </w:tcPr>
          <w:p w14:paraId="34022A4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3</w:t>
            </w:r>
          </w:p>
        </w:tc>
        <w:tc>
          <w:tcPr>
            <w:tcW w:w="4082" w:type="dxa"/>
            <w:tcBorders>
              <w:top w:val="nil"/>
              <w:left w:val="nil"/>
              <w:bottom w:val="single" w:color="auto" w:sz="4" w:space="0"/>
              <w:right w:val="single" w:color="auto" w:sz="4" w:space="0"/>
            </w:tcBorders>
            <w:shd w:val="clear" w:color="auto" w:fill="auto"/>
            <w:vAlign w:val="center"/>
          </w:tcPr>
          <w:p w14:paraId="17AB133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资金执行率（%）=拨付资金/预算安排资金*100%，执行率在90%--100%区间内得满分，其余每降低1%，扣减权重分的2%，扣完为止。</w:t>
            </w:r>
          </w:p>
        </w:tc>
        <w:tc>
          <w:tcPr>
            <w:tcW w:w="1888" w:type="dxa"/>
            <w:tcBorders>
              <w:top w:val="nil"/>
              <w:left w:val="nil"/>
              <w:bottom w:val="single" w:color="auto" w:sz="4" w:space="0"/>
              <w:right w:val="single" w:color="auto" w:sz="4" w:space="0"/>
            </w:tcBorders>
            <w:shd w:val="clear" w:color="auto" w:fill="auto"/>
            <w:vAlign w:val="center"/>
          </w:tcPr>
          <w:p w14:paraId="4F22392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100%</w:t>
            </w:r>
          </w:p>
        </w:tc>
        <w:tc>
          <w:tcPr>
            <w:tcW w:w="726" w:type="dxa"/>
            <w:tcBorders>
              <w:top w:val="nil"/>
              <w:left w:val="nil"/>
              <w:bottom w:val="single" w:color="auto" w:sz="4" w:space="0"/>
              <w:right w:val="single" w:color="auto" w:sz="4" w:space="0"/>
            </w:tcBorders>
            <w:shd w:val="clear" w:color="auto" w:fill="auto"/>
            <w:noWrap/>
            <w:vAlign w:val="center"/>
          </w:tcPr>
          <w:p w14:paraId="1B67A33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3</w:t>
            </w:r>
          </w:p>
        </w:tc>
      </w:tr>
      <w:tr w14:paraId="22448EDD">
        <w:tblPrEx>
          <w:tblCellMar>
            <w:top w:w="0" w:type="dxa"/>
            <w:left w:w="108" w:type="dxa"/>
            <w:bottom w:w="0" w:type="dxa"/>
            <w:right w:w="108" w:type="dxa"/>
          </w:tblCellMar>
        </w:tblPrEx>
        <w:trPr>
          <w:trHeight w:val="1335" w:hRule="atLeast"/>
          <w:jc w:val="center"/>
        </w:trPr>
        <w:tc>
          <w:tcPr>
            <w:tcW w:w="1044" w:type="dxa"/>
            <w:vMerge w:val="continue"/>
            <w:tcBorders>
              <w:top w:val="single" w:color="auto" w:sz="4" w:space="0"/>
              <w:left w:val="single" w:color="auto" w:sz="4" w:space="0"/>
              <w:bottom w:val="single" w:color="auto" w:sz="4" w:space="0"/>
              <w:right w:val="single" w:color="auto" w:sz="4" w:space="0"/>
            </w:tcBorders>
            <w:vAlign w:val="center"/>
          </w:tcPr>
          <w:p w14:paraId="306036C7">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4B7AB83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项目目标</w:t>
            </w:r>
          </w:p>
        </w:tc>
        <w:tc>
          <w:tcPr>
            <w:tcW w:w="1451" w:type="dxa"/>
            <w:tcBorders>
              <w:top w:val="nil"/>
              <w:left w:val="nil"/>
              <w:bottom w:val="single" w:color="auto" w:sz="4" w:space="0"/>
              <w:right w:val="single" w:color="auto" w:sz="4" w:space="0"/>
            </w:tcBorders>
            <w:shd w:val="clear" w:color="auto" w:fill="auto"/>
            <w:vAlign w:val="center"/>
          </w:tcPr>
          <w:p w14:paraId="39FC8BF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绩效目标合理性</w:t>
            </w:r>
          </w:p>
        </w:tc>
        <w:tc>
          <w:tcPr>
            <w:tcW w:w="1985" w:type="dxa"/>
            <w:tcBorders>
              <w:top w:val="nil"/>
              <w:left w:val="nil"/>
              <w:bottom w:val="single" w:color="auto" w:sz="4" w:space="0"/>
              <w:right w:val="single" w:color="auto" w:sz="4" w:space="0"/>
            </w:tcBorders>
            <w:shd w:val="clear" w:color="auto" w:fill="auto"/>
            <w:vAlign w:val="center"/>
          </w:tcPr>
          <w:p w14:paraId="05E5C82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合理</w:t>
            </w:r>
          </w:p>
        </w:tc>
        <w:tc>
          <w:tcPr>
            <w:tcW w:w="1701" w:type="dxa"/>
            <w:tcBorders>
              <w:top w:val="nil"/>
              <w:left w:val="nil"/>
              <w:bottom w:val="single" w:color="auto" w:sz="4" w:space="0"/>
              <w:right w:val="single" w:color="auto" w:sz="4" w:space="0"/>
            </w:tcBorders>
            <w:shd w:val="clear" w:color="auto" w:fill="auto"/>
            <w:vAlign w:val="center"/>
          </w:tcPr>
          <w:p w14:paraId="5665E8B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考量项目是否设置绩效目标，绩效目标是否符合要求</w:t>
            </w:r>
          </w:p>
        </w:tc>
        <w:tc>
          <w:tcPr>
            <w:tcW w:w="533" w:type="dxa"/>
            <w:tcBorders>
              <w:top w:val="nil"/>
              <w:left w:val="nil"/>
              <w:bottom w:val="single" w:color="auto" w:sz="4" w:space="0"/>
              <w:right w:val="single" w:color="auto" w:sz="4" w:space="0"/>
            </w:tcBorders>
            <w:shd w:val="clear" w:color="auto" w:fill="auto"/>
            <w:vAlign w:val="center"/>
          </w:tcPr>
          <w:p w14:paraId="297A568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c>
          <w:tcPr>
            <w:tcW w:w="4082" w:type="dxa"/>
            <w:tcBorders>
              <w:top w:val="nil"/>
              <w:left w:val="nil"/>
              <w:bottom w:val="single" w:color="auto" w:sz="4" w:space="0"/>
              <w:right w:val="single" w:color="auto" w:sz="4" w:space="0"/>
            </w:tcBorders>
            <w:shd w:val="clear" w:color="auto" w:fill="auto"/>
            <w:vAlign w:val="center"/>
          </w:tcPr>
          <w:p w14:paraId="59DB214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绩效目标①指向明确、②可量化衡量、③具备可实现性、④与项目相关、⑤具有时效性。符合以上5个要素得满分符合所有条件得满分，缺失一项扣1分。</w:t>
            </w:r>
          </w:p>
        </w:tc>
        <w:tc>
          <w:tcPr>
            <w:tcW w:w="1888" w:type="dxa"/>
            <w:tcBorders>
              <w:top w:val="nil"/>
              <w:left w:val="nil"/>
              <w:bottom w:val="single" w:color="auto" w:sz="4" w:space="0"/>
              <w:right w:val="single" w:color="auto" w:sz="4" w:space="0"/>
            </w:tcBorders>
            <w:shd w:val="clear" w:color="auto" w:fill="auto"/>
            <w:vAlign w:val="center"/>
          </w:tcPr>
          <w:p w14:paraId="6B8FCFA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合理</w:t>
            </w:r>
          </w:p>
        </w:tc>
        <w:tc>
          <w:tcPr>
            <w:tcW w:w="726" w:type="dxa"/>
            <w:tcBorders>
              <w:top w:val="nil"/>
              <w:left w:val="nil"/>
              <w:bottom w:val="single" w:color="auto" w:sz="4" w:space="0"/>
              <w:right w:val="single" w:color="auto" w:sz="4" w:space="0"/>
            </w:tcBorders>
            <w:shd w:val="clear" w:color="auto" w:fill="auto"/>
            <w:noWrap/>
            <w:vAlign w:val="center"/>
          </w:tcPr>
          <w:p w14:paraId="0893C30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r>
      <w:tr w14:paraId="28FB0EE9">
        <w:tblPrEx>
          <w:tblCellMar>
            <w:top w:w="0" w:type="dxa"/>
            <w:left w:w="108" w:type="dxa"/>
            <w:bottom w:w="0" w:type="dxa"/>
            <w:right w:w="108" w:type="dxa"/>
          </w:tblCellMar>
        </w:tblPrEx>
        <w:trPr>
          <w:trHeight w:val="1554" w:hRule="atLeast"/>
          <w:jc w:val="center"/>
        </w:trPr>
        <w:tc>
          <w:tcPr>
            <w:tcW w:w="1044" w:type="dxa"/>
            <w:vMerge w:val="restart"/>
            <w:tcBorders>
              <w:top w:val="nil"/>
              <w:left w:val="single" w:color="auto" w:sz="4" w:space="0"/>
              <w:bottom w:val="single" w:color="auto" w:sz="4" w:space="0"/>
              <w:right w:val="single" w:color="auto" w:sz="4" w:space="0"/>
            </w:tcBorders>
            <w:shd w:val="clear" w:color="auto" w:fill="auto"/>
            <w:vAlign w:val="center"/>
          </w:tcPr>
          <w:p w14:paraId="56D1CFC8">
            <w:pPr>
              <w:widowControl/>
              <w:jc w:val="center"/>
              <w:rPr>
                <w:rFonts w:ascii="仿宋_GB2312" w:hAnsi="宋体" w:eastAsia="仿宋_GB2312" w:cs="宋体"/>
                <w:color w:val="000000"/>
                <w:kern w:val="0"/>
                <w:sz w:val="20"/>
              </w:rPr>
            </w:pPr>
          </w:p>
          <w:p w14:paraId="67FFB841">
            <w:pPr>
              <w:widowControl/>
              <w:jc w:val="center"/>
              <w:rPr>
                <w:rFonts w:ascii="仿宋_GB2312" w:hAnsi="宋体" w:eastAsia="仿宋_GB2312" w:cs="宋体"/>
                <w:color w:val="000000"/>
                <w:kern w:val="0"/>
                <w:sz w:val="20"/>
              </w:rPr>
            </w:pPr>
            <w:r>
              <w:rPr>
                <w:rFonts w:ascii="仿宋_GB2312" w:hAnsi="宋体" w:eastAsia="仿宋_GB2312" w:cs="宋体"/>
                <w:color w:val="000000"/>
                <w:kern w:val="0"/>
                <w:sz w:val="20"/>
              </w:rPr>
              <w:pict>
                <v:shape id="_x0000_s1026" o:spid="_x0000_s1026" o:spt="32" type="#_x0000_t32" style="position:absolute;left:0pt;flip:x;margin-left:-14.1pt;margin-top:-190.8pt;height:0pt;width:54pt;z-index:251659264;mso-width-relative:page;mso-height-relative:page;" o:connectortype="straight" filled="f" coordsize="21600,21600">
                  <v:path arrowok="t"/>
                  <v:fill on="f" focussize="0,0"/>
                  <v:stroke/>
                  <v:imagedata o:title=""/>
                  <o:lock v:ext="edit"/>
                </v:shape>
              </w:pict>
            </w:r>
          </w:p>
          <w:p w14:paraId="5618058B">
            <w:pPr>
              <w:widowControl/>
              <w:jc w:val="center"/>
              <w:rPr>
                <w:rFonts w:ascii="仿宋_GB2312" w:hAnsi="宋体" w:eastAsia="仿宋_GB2312" w:cs="宋体"/>
                <w:color w:val="000000"/>
                <w:kern w:val="0"/>
                <w:sz w:val="20"/>
              </w:rPr>
            </w:pPr>
          </w:p>
          <w:p w14:paraId="009C48E0">
            <w:pPr>
              <w:widowControl/>
              <w:jc w:val="center"/>
              <w:rPr>
                <w:rFonts w:ascii="仿宋_GB2312" w:hAnsi="宋体" w:eastAsia="仿宋_GB2312" w:cs="宋体"/>
                <w:color w:val="000000"/>
                <w:kern w:val="0"/>
                <w:sz w:val="20"/>
              </w:rPr>
            </w:pPr>
          </w:p>
          <w:p w14:paraId="1E8C7BE6">
            <w:pPr>
              <w:widowControl/>
              <w:rPr>
                <w:rFonts w:ascii="仿宋_GB2312" w:hAnsi="宋体" w:eastAsia="仿宋_GB2312" w:cs="宋体"/>
                <w:color w:val="000000"/>
                <w:kern w:val="0"/>
                <w:sz w:val="20"/>
              </w:rPr>
            </w:pPr>
          </w:p>
          <w:p w14:paraId="4932CDB3">
            <w:pPr>
              <w:widowControl/>
              <w:rPr>
                <w:rFonts w:ascii="仿宋_GB2312" w:hAnsi="宋体" w:eastAsia="仿宋_GB2312" w:cs="宋体"/>
                <w:color w:val="000000"/>
                <w:kern w:val="0"/>
                <w:sz w:val="20"/>
              </w:rPr>
            </w:pPr>
          </w:p>
          <w:p w14:paraId="7FBB9E28">
            <w:pPr>
              <w:widowControl/>
              <w:ind w:firstLine="100" w:firstLineChars="50"/>
              <w:rPr>
                <w:rFonts w:ascii="仿宋_GB2312" w:hAnsi="宋体" w:eastAsia="仿宋_GB2312" w:cs="宋体"/>
                <w:color w:val="000000"/>
                <w:kern w:val="0"/>
                <w:sz w:val="20"/>
              </w:rPr>
            </w:pPr>
            <w:r>
              <w:rPr>
                <w:rFonts w:hint="eastAsia" w:ascii="仿宋_GB2312" w:hAnsi="宋体" w:eastAsia="仿宋_GB2312" w:cs="宋体"/>
                <w:color w:val="000000"/>
                <w:kern w:val="0"/>
                <w:sz w:val="20"/>
              </w:rPr>
              <w:t>过程</w:t>
            </w:r>
          </w:p>
          <w:p w14:paraId="17E04E8A">
            <w:pPr>
              <w:pStyle w:val="2"/>
            </w:pPr>
          </w:p>
          <w:p w14:paraId="258E140C">
            <w:pPr>
              <w:pStyle w:val="2"/>
            </w:pPr>
          </w:p>
          <w:p w14:paraId="45C9BBBA">
            <w:pPr>
              <w:pStyle w:val="2"/>
            </w:pPr>
          </w:p>
          <w:p w14:paraId="738861B0">
            <w:pPr>
              <w:pStyle w:val="2"/>
            </w:pPr>
          </w:p>
          <w:p w14:paraId="3D123F9D">
            <w:pPr>
              <w:pStyle w:val="2"/>
            </w:pPr>
          </w:p>
          <w:p w14:paraId="7D5C3D5A">
            <w:pPr>
              <w:pStyle w:val="2"/>
            </w:pPr>
            <w:r>
              <w:pict>
                <v:shape id="_x0000_s1027" o:spid="_x0000_s1027" o:spt="32" type="#_x0000_t32" style="position:absolute;left:0pt;margin-left:-4.35pt;margin-top:-0.5pt;height:0pt;width:55.5pt;z-index:251660288;mso-width-relative:page;mso-height-relative:page;" o:connectortype="straight" filled="f" coordsize="21600,21600">
                  <v:path arrowok="t"/>
                  <v:fill on="f" focussize="0,0"/>
                  <v:stroke/>
                  <v:imagedata o:title=""/>
                  <o:lock v:ext="edit"/>
                </v:shape>
              </w:pict>
            </w:r>
          </w:p>
          <w:p w14:paraId="7CBBB724">
            <w:pPr>
              <w:pStyle w:val="2"/>
            </w:pPr>
          </w:p>
          <w:p w14:paraId="62048A87">
            <w:pPr>
              <w:pStyle w:val="2"/>
            </w:pPr>
          </w:p>
          <w:p w14:paraId="6CF3A347">
            <w:pPr>
              <w:pStyle w:val="2"/>
            </w:pPr>
          </w:p>
          <w:p w14:paraId="5AC46737">
            <w:pPr>
              <w:widowControl/>
              <w:ind w:firstLine="100" w:firstLineChars="50"/>
              <w:rPr>
                <w:rFonts w:ascii="仿宋_GB2312" w:hAnsi="宋体" w:eastAsia="仿宋_GB2312" w:cs="宋体"/>
                <w:color w:val="000000"/>
                <w:kern w:val="0"/>
                <w:sz w:val="20"/>
              </w:rPr>
            </w:pPr>
            <w:r>
              <w:rPr>
                <w:rFonts w:hint="eastAsia" w:ascii="仿宋_GB2312" w:hAnsi="宋体" w:eastAsia="仿宋_GB2312" w:cs="宋体"/>
                <w:color w:val="000000"/>
                <w:kern w:val="0"/>
                <w:sz w:val="20"/>
              </w:rPr>
              <w:t>过程</w:t>
            </w:r>
          </w:p>
          <w:p w14:paraId="2F87D225">
            <w:pPr>
              <w:pStyle w:val="2"/>
            </w:pPr>
          </w:p>
          <w:p w14:paraId="15FEFB62">
            <w:pPr>
              <w:pStyle w:val="2"/>
            </w:pPr>
          </w:p>
          <w:p w14:paraId="1173A306">
            <w:pPr>
              <w:pStyle w:val="2"/>
            </w:pPr>
          </w:p>
        </w:tc>
        <w:tc>
          <w:tcPr>
            <w:tcW w:w="1242" w:type="dxa"/>
            <w:vMerge w:val="restart"/>
            <w:tcBorders>
              <w:top w:val="nil"/>
              <w:left w:val="single" w:color="auto" w:sz="4" w:space="0"/>
              <w:bottom w:val="single" w:color="auto" w:sz="4" w:space="0"/>
              <w:right w:val="single" w:color="auto" w:sz="4" w:space="0"/>
            </w:tcBorders>
            <w:shd w:val="clear" w:color="auto" w:fill="auto"/>
            <w:vAlign w:val="center"/>
          </w:tcPr>
          <w:p w14:paraId="734B470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预算管理</w:t>
            </w:r>
          </w:p>
        </w:tc>
        <w:tc>
          <w:tcPr>
            <w:tcW w:w="1451" w:type="dxa"/>
            <w:tcBorders>
              <w:top w:val="nil"/>
              <w:left w:val="nil"/>
              <w:bottom w:val="single" w:color="auto" w:sz="4" w:space="0"/>
              <w:right w:val="single" w:color="auto" w:sz="4" w:space="0"/>
            </w:tcBorders>
            <w:shd w:val="clear" w:color="auto" w:fill="auto"/>
            <w:vAlign w:val="center"/>
          </w:tcPr>
          <w:p w14:paraId="09A1DFF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资金支付率</w:t>
            </w:r>
          </w:p>
        </w:tc>
        <w:tc>
          <w:tcPr>
            <w:tcW w:w="1985" w:type="dxa"/>
            <w:tcBorders>
              <w:top w:val="nil"/>
              <w:left w:val="nil"/>
              <w:bottom w:val="single" w:color="auto" w:sz="4" w:space="0"/>
              <w:right w:val="single" w:color="auto" w:sz="4" w:space="0"/>
            </w:tcBorders>
            <w:shd w:val="clear" w:color="auto" w:fill="auto"/>
            <w:vAlign w:val="center"/>
          </w:tcPr>
          <w:p w14:paraId="7ED4D55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100%</w:t>
            </w:r>
          </w:p>
        </w:tc>
        <w:tc>
          <w:tcPr>
            <w:tcW w:w="1701" w:type="dxa"/>
            <w:tcBorders>
              <w:top w:val="nil"/>
              <w:left w:val="nil"/>
              <w:bottom w:val="single" w:color="auto" w:sz="4" w:space="0"/>
              <w:right w:val="single" w:color="auto" w:sz="4" w:space="0"/>
            </w:tcBorders>
            <w:shd w:val="clear" w:color="auto" w:fill="auto"/>
            <w:vAlign w:val="center"/>
          </w:tcPr>
          <w:p w14:paraId="129B764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考量资金实际支付情况</w:t>
            </w:r>
          </w:p>
        </w:tc>
        <w:tc>
          <w:tcPr>
            <w:tcW w:w="533" w:type="dxa"/>
            <w:tcBorders>
              <w:top w:val="nil"/>
              <w:left w:val="nil"/>
              <w:bottom w:val="single" w:color="auto" w:sz="4" w:space="0"/>
              <w:right w:val="single" w:color="auto" w:sz="4" w:space="0"/>
            </w:tcBorders>
            <w:shd w:val="clear" w:color="auto" w:fill="auto"/>
            <w:vAlign w:val="center"/>
          </w:tcPr>
          <w:p w14:paraId="3EDAE4D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 xml:space="preserve">5 </w:t>
            </w:r>
          </w:p>
        </w:tc>
        <w:tc>
          <w:tcPr>
            <w:tcW w:w="4082" w:type="dxa"/>
            <w:tcBorders>
              <w:top w:val="nil"/>
              <w:left w:val="nil"/>
              <w:bottom w:val="single" w:color="auto" w:sz="4" w:space="0"/>
              <w:right w:val="single" w:color="auto" w:sz="4" w:space="0"/>
            </w:tcBorders>
            <w:shd w:val="clear" w:color="auto" w:fill="auto"/>
            <w:vAlign w:val="center"/>
          </w:tcPr>
          <w:p w14:paraId="54C8200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根据实际情况进行定性评价。达到标准值100%的得权重分的100%；达到标准值75%得权重分的75%；达到标准值50%得权重分的50%；达到标准值0%不得分。</w:t>
            </w:r>
          </w:p>
        </w:tc>
        <w:tc>
          <w:tcPr>
            <w:tcW w:w="1888" w:type="dxa"/>
            <w:tcBorders>
              <w:top w:val="nil"/>
              <w:left w:val="nil"/>
              <w:bottom w:val="single" w:color="auto" w:sz="4" w:space="0"/>
              <w:right w:val="single" w:color="auto" w:sz="4" w:space="0"/>
            </w:tcBorders>
            <w:shd w:val="clear" w:color="auto" w:fill="auto"/>
            <w:vAlign w:val="center"/>
          </w:tcPr>
          <w:p w14:paraId="5A5BDDD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100%</w:t>
            </w:r>
          </w:p>
        </w:tc>
        <w:tc>
          <w:tcPr>
            <w:tcW w:w="726" w:type="dxa"/>
            <w:tcBorders>
              <w:top w:val="nil"/>
              <w:left w:val="nil"/>
              <w:bottom w:val="single" w:color="auto" w:sz="4" w:space="0"/>
              <w:right w:val="single" w:color="auto" w:sz="4" w:space="0"/>
            </w:tcBorders>
            <w:shd w:val="clear" w:color="auto" w:fill="auto"/>
            <w:noWrap/>
            <w:vAlign w:val="center"/>
          </w:tcPr>
          <w:p w14:paraId="49034D4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6E04979B">
        <w:tblPrEx>
          <w:tblCellMar>
            <w:top w:w="0" w:type="dxa"/>
            <w:left w:w="108" w:type="dxa"/>
            <w:bottom w:w="0" w:type="dxa"/>
            <w:right w:w="108" w:type="dxa"/>
          </w:tblCellMar>
        </w:tblPrEx>
        <w:trPr>
          <w:trHeight w:val="90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05F93621">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auto" w:sz="4" w:space="0"/>
              <w:right w:val="single" w:color="auto" w:sz="4" w:space="0"/>
            </w:tcBorders>
            <w:vAlign w:val="center"/>
          </w:tcPr>
          <w:p w14:paraId="20334463">
            <w:pPr>
              <w:widowControl/>
              <w:jc w:val="left"/>
              <w:rPr>
                <w:rFonts w:ascii="仿宋_GB2312" w:hAnsi="宋体" w:eastAsia="仿宋_GB2312" w:cs="宋体"/>
                <w:color w:val="000000"/>
                <w:kern w:val="0"/>
                <w:sz w:val="20"/>
              </w:rPr>
            </w:pPr>
          </w:p>
        </w:tc>
        <w:tc>
          <w:tcPr>
            <w:tcW w:w="1451" w:type="dxa"/>
            <w:tcBorders>
              <w:top w:val="nil"/>
              <w:left w:val="nil"/>
              <w:bottom w:val="single" w:color="auto" w:sz="4" w:space="0"/>
              <w:right w:val="single" w:color="auto" w:sz="4" w:space="0"/>
            </w:tcBorders>
            <w:shd w:val="clear" w:color="auto" w:fill="auto"/>
            <w:vAlign w:val="center"/>
          </w:tcPr>
          <w:p w14:paraId="65FBA6A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资金拨付及时性</w:t>
            </w:r>
          </w:p>
        </w:tc>
        <w:tc>
          <w:tcPr>
            <w:tcW w:w="1985" w:type="dxa"/>
            <w:tcBorders>
              <w:top w:val="nil"/>
              <w:left w:val="nil"/>
              <w:bottom w:val="single" w:color="auto" w:sz="4" w:space="0"/>
              <w:right w:val="single" w:color="auto" w:sz="4" w:space="0"/>
            </w:tcBorders>
            <w:shd w:val="clear" w:color="auto" w:fill="auto"/>
            <w:vAlign w:val="center"/>
          </w:tcPr>
          <w:p w14:paraId="5C184B1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拨付及时</w:t>
            </w:r>
          </w:p>
        </w:tc>
        <w:tc>
          <w:tcPr>
            <w:tcW w:w="1701" w:type="dxa"/>
            <w:tcBorders>
              <w:top w:val="nil"/>
              <w:left w:val="nil"/>
              <w:bottom w:val="single" w:color="auto" w:sz="4" w:space="0"/>
              <w:right w:val="single" w:color="auto" w:sz="4" w:space="0"/>
            </w:tcBorders>
            <w:shd w:val="clear" w:color="auto" w:fill="auto"/>
            <w:vAlign w:val="center"/>
          </w:tcPr>
          <w:p w14:paraId="2BD771C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考量资金拨付情况</w:t>
            </w:r>
          </w:p>
        </w:tc>
        <w:tc>
          <w:tcPr>
            <w:tcW w:w="533" w:type="dxa"/>
            <w:tcBorders>
              <w:top w:val="nil"/>
              <w:left w:val="nil"/>
              <w:bottom w:val="single" w:color="auto" w:sz="4" w:space="0"/>
              <w:right w:val="single" w:color="auto" w:sz="4" w:space="0"/>
            </w:tcBorders>
            <w:shd w:val="clear" w:color="auto" w:fill="auto"/>
            <w:vAlign w:val="center"/>
          </w:tcPr>
          <w:p w14:paraId="1F0926C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c>
          <w:tcPr>
            <w:tcW w:w="4082" w:type="dxa"/>
            <w:tcBorders>
              <w:top w:val="nil"/>
              <w:left w:val="nil"/>
              <w:bottom w:val="single" w:color="auto" w:sz="4" w:space="0"/>
              <w:right w:val="single" w:color="auto" w:sz="4" w:space="0"/>
            </w:tcBorders>
            <w:shd w:val="clear" w:color="auto" w:fill="auto"/>
            <w:vAlign w:val="center"/>
          </w:tcPr>
          <w:p w14:paraId="6BD8328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按规定时间拨付得满分，每出现一次未按规定拨付的情况扣1分，扣完为止。</w:t>
            </w:r>
          </w:p>
        </w:tc>
        <w:tc>
          <w:tcPr>
            <w:tcW w:w="1888" w:type="dxa"/>
            <w:tcBorders>
              <w:top w:val="nil"/>
              <w:left w:val="nil"/>
              <w:bottom w:val="single" w:color="auto" w:sz="4" w:space="0"/>
              <w:right w:val="single" w:color="auto" w:sz="4" w:space="0"/>
            </w:tcBorders>
            <w:shd w:val="clear" w:color="auto" w:fill="auto"/>
            <w:vAlign w:val="center"/>
          </w:tcPr>
          <w:p w14:paraId="09FC034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拨付及时</w:t>
            </w:r>
          </w:p>
        </w:tc>
        <w:tc>
          <w:tcPr>
            <w:tcW w:w="726" w:type="dxa"/>
            <w:tcBorders>
              <w:top w:val="nil"/>
              <w:left w:val="nil"/>
              <w:bottom w:val="single" w:color="auto" w:sz="4" w:space="0"/>
              <w:right w:val="single" w:color="auto" w:sz="4" w:space="0"/>
            </w:tcBorders>
            <w:shd w:val="clear" w:color="auto" w:fill="auto"/>
            <w:noWrap/>
            <w:vAlign w:val="center"/>
          </w:tcPr>
          <w:p w14:paraId="3735239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r>
      <w:tr w14:paraId="1BA4956D">
        <w:tblPrEx>
          <w:tblCellMar>
            <w:top w:w="0" w:type="dxa"/>
            <w:left w:w="108" w:type="dxa"/>
            <w:bottom w:w="0" w:type="dxa"/>
            <w:right w:w="108" w:type="dxa"/>
          </w:tblCellMar>
        </w:tblPrEx>
        <w:trPr>
          <w:trHeight w:val="120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0E9DC728">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1F170ED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财务管理</w:t>
            </w:r>
          </w:p>
        </w:tc>
        <w:tc>
          <w:tcPr>
            <w:tcW w:w="1451" w:type="dxa"/>
            <w:tcBorders>
              <w:top w:val="nil"/>
              <w:left w:val="nil"/>
              <w:bottom w:val="single" w:color="auto" w:sz="4" w:space="0"/>
              <w:right w:val="single" w:color="auto" w:sz="4" w:space="0"/>
            </w:tcBorders>
            <w:shd w:val="clear" w:color="auto" w:fill="auto"/>
            <w:vAlign w:val="center"/>
          </w:tcPr>
          <w:p w14:paraId="7C83169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财务管理制度健全性</w:t>
            </w:r>
          </w:p>
        </w:tc>
        <w:tc>
          <w:tcPr>
            <w:tcW w:w="1985" w:type="dxa"/>
            <w:tcBorders>
              <w:top w:val="nil"/>
              <w:left w:val="nil"/>
              <w:bottom w:val="single" w:color="auto" w:sz="4" w:space="0"/>
              <w:right w:val="single" w:color="auto" w:sz="4" w:space="0"/>
            </w:tcBorders>
            <w:shd w:val="clear" w:color="auto" w:fill="auto"/>
            <w:vAlign w:val="center"/>
          </w:tcPr>
          <w:p w14:paraId="0AB6339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健全</w:t>
            </w:r>
          </w:p>
        </w:tc>
        <w:tc>
          <w:tcPr>
            <w:tcW w:w="1701" w:type="dxa"/>
            <w:tcBorders>
              <w:top w:val="nil"/>
              <w:left w:val="nil"/>
              <w:bottom w:val="single" w:color="auto" w:sz="4" w:space="0"/>
              <w:right w:val="single" w:color="auto" w:sz="4" w:space="0"/>
            </w:tcBorders>
            <w:shd w:val="clear" w:color="auto" w:fill="auto"/>
            <w:vAlign w:val="center"/>
          </w:tcPr>
          <w:p w14:paraId="47C1795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考量项目财务管理制度的建立及执行情况</w:t>
            </w:r>
          </w:p>
        </w:tc>
        <w:tc>
          <w:tcPr>
            <w:tcW w:w="533" w:type="dxa"/>
            <w:tcBorders>
              <w:top w:val="nil"/>
              <w:left w:val="nil"/>
              <w:bottom w:val="single" w:color="auto" w:sz="4" w:space="0"/>
              <w:right w:val="single" w:color="auto" w:sz="4" w:space="0"/>
            </w:tcBorders>
            <w:shd w:val="clear" w:color="auto" w:fill="auto"/>
            <w:vAlign w:val="center"/>
          </w:tcPr>
          <w:p w14:paraId="24400C8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3</w:t>
            </w:r>
          </w:p>
        </w:tc>
        <w:tc>
          <w:tcPr>
            <w:tcW w:w="4082" w:type="dxa"/>
            <w:tcBorders>
              <w:top w:val="nil"/>
              <w:left w:val="nil"/>
              <w:bottom w:val="single" w:color="auto" w:sz="4" w:space="0"/>
              <w:right w:val="single" w:color="auto" w:sz="4" w:space="0"/>
            </w:tcBorders>
            <w:shd w:val="clear" w:color="auto" w:fill="auto"/>
            <w:vAlign w:val="center"/>
          </w:tcPr>
          <w:p w14:paraId="21E35DB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1.是否建立适用于本项目的资金、财务管理制度办法；2、办法或制度是否符合相关</w:t>
            </w:r>
            <w:bookmarkStart w:id="1" w:name="_GoBack"/>
            <w:r>
              <w:rPr>
                <w:rFonts w:hint="eastAsia" w:ascii="仿宋_GB2312" w:hAnsi="宋体" w:eastAsia="仿宋_GB2312" w:cs="宋体"/>
                <w:color w:val="000000"/>
                <w:kern w:val="0"/>
                <w:sz w:val="20"/>
              </w:rPr>
              <w:t>财务</w:t>
            </w:r>
            <w:r>
              <w:rPr>
                <w:rFonts w:hint="eastAsia" w:ascii="仿宋_GB2312" w:hAnsi="宋体" w:eastAsia="仿宋_GB2312" w:cs="宋体"/>
                <w:color w:val="000000"/>
                <w:kern w:val="0"/>
                <w:sz w:val="20"/>
                <w:lang w:val="en-US" w:eastAsia="zh-CN"/>
              </w:rPr>
              <w:t>会</w:t>
            </w:r>
            <w:r>
              <w:rPr>
                <w:rFonts w:hint="eastAsia" w:ascii="仿宋_GB2312" w:hAnsi="宋体" w:eastAsia="仿宋_GB2312" w:cs="宋体"/>
                <w:color w:val="000000"/>
                <w:kern w:val="0"/>
                <w:sz w:val="20"/>
              </w:rPr>
              <w:t>计制度</w:t>
            </w:r>
            <w:bookmarkEnd w:id="1"/>
            <w:r>
              <w:rPr>
                <w:rFonts w:hint="eastAsia" w:ascii="仿宋_GB2312" w:hAnsi="宋体" w:eastAsia="仿宋_GB2312" w:cs="宋体"/>
                <w:color w:val="000000"/>
                <w:kern w:val="0"/>
                <w:sz w:val="20"/>
              </w:rPr>
              <w:t>的规定；3、是否建立该项资金的跟踪审计制度。三项均符合要求得满分，缺失一项扣1.分，扣完为止。</w:t>
            </w:r>
          </w:p>
        </w:tc>
        <w:tc>
          <w:tcPr>
            <w:tcW w:w="1888" w:type="dxa"/>
            <w:tcBorders>
              <w:top w:val="nil"/>
              <w:left w:val="nil"/>
              <w:bottom w:val="single" w:color="auto" w:sz="4" w:space="0"/>
              <w:right w:val="single" w:color="auto" w:sz="4" w:space="0"/>
            </w:tcBorders>
            <w:shd w:val="clear" w:color="auto" w:fill="auto"/>
            <w:vAlign w:val="center"/>
          </w:tcPr>
          <w:p w14:paraId="15164E3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健全</w:t>
            </w:r>
          </w:p>
        </w:tc>
        <w:tc>
          <w:tcPr>
            <w:tcW w:w="726" w:type="dxa"/>
            <w:tcBorders>
              <w:top w:val="nil"/>
              <w:left w:val="nil"/>
              <w:bottom w:val="single" w:color="auto" w:sz="4" w:space="0"/>
              <w:right w:val="single" w:color="auto" w:sz="4" w:space="0"/>
            </w:tcBorders>
            <w:shd w:val="clear" w:color="auto" w:fill="auto"/>
            <w:noWrap/>
            <w:vAlign w:val="center"/>
          </w:tcPr>
          <w:p w14:paraId="2F2624D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3</w:t>
            </w:r>
          </w:p>
        </w:tc>
      </w:tr>
      <w:tr w14:paraId="5EB279EF">
        <w:tblPrEx>
          <w:tblCellMar>
            <w:top w:w="0" w:type="dxa"/>
            <w:left w:w="108" w:type="dxa"/>
            <w:bottom w:w="0" w:type="dxa"/>
            <w:right w:w="108" w:type="dxa"/>
          </w:tblCellMar>
        </w:tblPrEx>
        <w:trPr>
          <w:trHeight w:val="96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5E365FC5">
            <w:pPr>
              <w:widowControl/>
              <w:jc w:val="left"/>
              <w:rPr>
                <w:rFonts w:ascii="仿宋_GB2312" w:hAnsi="宋体" w:eastAsia="仿宋_GB2312" w:cs="宋体"/>
                <w:color w:val="000000"/>
                <w:kern w:val="0"/>
                <w:sz w:val="20"/>
              </w:rPr>
            </w:pPr>
          </w:p>
        </w:tc>
        <w:tc>
          <w:tcPr>
            <w:tcW w:w="1242" w:type="dxa"/>
            <w:tcBorders>
              <w:top w:val="single" w:color="auto" w:sz="4" w:space="0"/>
              <w:left w:val="nil"/>
              <w:bottom w:val="single" w:color="auto" w:sz="4" w:space="0"/>
              <w:right w:val="single" w:color="auto" w:sz="4" w:space="0"/>
            </w:tcBorders>
            <w:shd w:val="clear" w:color="auto" w:fill="auto"/>
            <w:vAlign w:val="center"/>
          </w:tcPr>
          <w:p w14:paraId="0F49A45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组织管理</w:t>
            </w:r>
          </w:p>
        </w:tc>
        <w:tc>
          <w:tcPr>
            <w:tcW w:w="1451" w:type="dxa"/>
            <w:tcBorders>
              <w:top w:val="single" w:color="auto" w:sz="4" w:space="0"/>
              <w:left w:val="nil"/>
              <w:bottom w:val="single" w:color="auto" w:sz="4" w:space="0"/>
              <w:right w:val="single" w:color="auto" w:sz="4" w:space="0"/>
            </w:tcBorders>
            <w:shd w:val="clear" w:color="auto" w:fill="auto"/>
            <w:vAlign w:val="center"/>
          </w:tcPr>
          <w:p w14:paraId="53620D8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组织机构健全性</w:t>
            </w:r>
          </w:p>
        </w:tc>
        <w:tc>
          <w:tcPr>
            <w:tcW w:w="1985" w:type="dxa"/>
            <w:tcBorders>
              <w:top w:val="single" w:color="auto" w:sz="4" w:space="0"/>
              <w:left w:val="nil"/>
              <w:bottom w:val="single" w:color="auto" w:sz="4" w:space="0"/>
              <w:right w:val="single" w:color="auto" w:sz="4" w:space="0"/>
            </w:tcBorders>
            <w:shd w:val="clear" w:color="auto" w:fill="auto"/>
            <w:vAlign w:val="center"/>
          </w:tcPr>
          <w:p w14:paraId="13D61A7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健全有效</w:t>
            </w:r>
          </w:p>
        </w:tc>
        <w:tc>
          <w:tcPr>
            <w:tcW w:w="1701" w:type="dxa"/>
            <w:tcBorders>
              <w:top w:val="single" w:color="auto" w:sz="4" w:space="0"/>
              <w:left w:val="nil"/>
              <w:bottom w:val="single" w:color="auto" w:sz="4" w:space="0"/>
              <w:right w:val="single" w:color="auto" w:sz="4" w:space="0"/>
            </w:tcBorders>
            <w:shd w:val="clear" w:color="auto" w:fill="auto"/>
            <w:vAlign w:val="center"/>
          </w:tcPr>
          <w:p w14:paraId="19F2A57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考量项目的组织机制建设情况</w:t>
            </w:r>
          </w:p>
        </w:tc>
        <w:tc>
          <w:tcPr>
            <w:tcW w:w="533" w:type="dxa"/>
            <w:tcBorders>
              <w:top w:val="single" w:color="auto" w:sz="4" w:space="0"/>
              <w:left w:val="nil"/>
              <w:bottom w:val="single" w:color="auto" w:sz="4" w:space="0"/>
              <w:right w:val="single" w:color="auto" w:sz="4" w:space="0"/>
            </w:tcBorders>
            <w:shd w:val="clear" w:color="auto" w:fill="auto"/>
            <w:vAlign w:val="center"/>
          </w:tcPr>
          <w:p w14:paraId="67F86C2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c>
          <w:tcPr>
            <w:tcW w:w="4082" w:type="dxa"/>
            <w:tcBorders>
              <w:top w:val="single" w:color="auto" w:sz="4" w:space="0"/>
              <w:left w:val="nil"/>
              <w:bottom w:val="single" w:color="auto" w:sz="4" w:space="0"/>
              <w:right w:val="single" w:color="auto" w:sz="4" w:space="0"/>
            </w:tcBorders>
            <w:shd w:val="clear" w:color="auto" w:fill="auto"/>
            <w:vAlign w:val="center"/>
          </w:tcPr>
          <w:p w14:paraId="73F3E75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1、是否设置组织管理机构；2、是否明确管理权限，合理确定权责；3、是否建立信息沟通渠道。三项均符合要求得满分，缺失一项扣1.分，扣完为止。</w:t>
            </w:r>
          </w:p>
        </w:tc>
        <w:tc>
          <w:tcPr>
            <w:tcW w:w="1888" w:type="dxa"/>
            <w:tcBorders>
              <w:top w:val="single" w:color="auto" w:sz="4" w:space="0"/>
              <w:left w:val="nil"/>
              <w:bottom w:val="single" w:color="auto" w:sz="4" w:space="0"/>
              <w:right w:val="single" w:color="auto" w:sz="4" w:space="0"/>
            </w:tcBorders>
            <w:shd w:val="clear" w:color="auto" w:fill="auto"/>
            <w:vAlign w:val="center"/>
          </w:tcPr>
          <w:p w14:paraId="0DE5CF8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组织机构较健全</w:t>
            </w:r>
          </w:p>
        </w:tc>
        <w:tc>
          <w:tcPr>
            <w:tcW w:w="726" w:type="dxa"/>
            <w:tcBorders>
              <w:top w:val="single" w:color="auto" w:sz="4" w:space="0"/>
              <w:left w:val="nil"/>
              <w:bottom w:val="single" w:color="auto" w:sz="4" w:space="0"/>
              <w:right w:val="single" w:color="auto" w:sz="4" w:space="0"/>
            </w:tcBorders>
            <w:shd w:val="clear" w:color="auto" w:fill="auto"/>
            <w:noWrap/>
            <w:vAlign w:val="center"/>
          </w:tcPr>
          <w:p w14:paraId="23CD1E6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2AF70D11">
        <w:tblPrEx>
          <w:tblCellMar>
            <w:top w:w="0" w:type="dxa"/>
            <w:left w:w="108" w:type="dxa"/>
            <w:bottom w:w="0" w:type="dxa"/>
            <w:right w:w="108" w:type="dxa"/>
          </w:tblCellMar>
        </w:tblPrEx>
        <w:trPr>
          <w:trHeight w:val="120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3CF8DD75">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392862D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制度管理</w:t>
            </w:r>
          </w:p>
        </w:tc>
        <w:tc>
          <w:tcPr>
            <w:tcW w:w="1451" w:type="dxa"/>
            <w:tcBorders>
              <w:top w:val="nil"/>
              <w:left w:val="nil"/>
              <w:bottom w:val="single" w:color="auto" w:sz="4" w:space="0"/>
              <w:right w:val="single" w:color="auto" w:sz="4" w:space="0"/>
            </w:tcBorders>
            <w:shd w:val="clear" w:color="auto" w:fill="auto"/>
            <w:vAlign w:val="center"/>
          </w:tcPr>
          <w:p w14:paraId="69E8CC5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管理制度健全性</w:t>
            </w:r>
          </w:p>
        </w:tc>
        <w:tc>
          <w:tcPr>
            <w:tcW w:w="1985" w:type="dxa"/>
            <w:tcBorders>
              <w:top w:val="nil"/>
              <w:left w:val="nil"/>
              <w:bottom w:val="single" w:color="auto" w:sz="4" w:space="0"/>
              <w:right w:val="single" w:color="auto" w:sz="4" w:space="0"/>
            </w:tcBorders>
            <w:shd w:val="clear" w:color="auto" w:fill="auto"/>
            <w:vAlign w:val="center"/>
          </w:tcPr>
          <w:p w14:paraId="75286F2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健全</w:t>
            </w:r>
          </w:p>
        </w:tc>
        <w:tc>
          <w:tcPr>
            <w:tcW w:w="1701" w:type="dxa"/>
            <w:tcBorders>
              <w:top w:val="nil"/>
              <w:left w:val="nil"/>
              <w:bottom w:val="single" w:color="auto" w:sz="4" w:space="0"/>
              <w:right w:val="single" w:color="auto" w:sz="4" w:space="0"/>
            </w:tcBorders>
            <w:shd w:val="clear" w:color="auto" w:fill="auto"/>
            <w:vAlign w:val="center"/>
          </w:tcPr>
          <w:p w14:paraId="182928A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考量项目管理制度的建立健全情况</w:t>
            </w:r>
          </w:p>
        </w:tc>
        <w:tc>
          <w:tcPr>
            <w:tcW w:w="533" w:type="dxa"/>
            <w:tcBorders>
              <w:top w:val="nil"/>
              <w:left w:val="nil"/>
              <w:bottom w:val="single" w:color="auto" w:sz="4" w:space="0"/>
              <w:right w:val="single" w:color="auto" w:sz="4" w:space="0"/>
            </w:tcBorders>
            <w:shd w:val="clear" w:color="auto" w:fill="auto"/>
            <w:vAlign w:val="center"/>
          </w:tcPr>
          <w:p w14:paraId="36D79E2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30D9F91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1、是否建立适用于本项目的项目管理办法；2、办法或制度是都明确项目管理职责、申报要求、资金分配标准、资金拨付流程等。两项均符合要求的得满分，每缺失一项扣除权重分1/2,扣完为止。</w:t>
            </w:r>
          </w:p>
        </w:tc>
        <w:tc>
          <w:tcPr>
            <w:tcW w:w="1888" w:type="dxa"/>
            <w:tcBorders>
              <w:top w:val="nil"/>
              <w:left w:val="nil"/>
              <w:bottom w:val="single" w:color="auto" w:sz="4" w:space="0"/>
              <w:right w:val="single" w:color="auto" w:sz="4" w:space="0"/>
            </w:tcBorders>
            <w:shd w:val="clear" w:color="auto" w:fill="auto"/>
            <w:vAlign w:val="center"/>
          </w:tcPr>
          <w:p w14:paraId="7B50342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较健全</w:t>
            </w:r>
          </w:p>
        </w:tc>
        <w:tc>
          <w:tcPr>
            <w:tcW w:w="726" w:type="dxa"/>
            <w:tcBorders>
              <w:top w:val="nil"/>
              <w:left w:val="nil"/>
              <w:bottom w:val="single" w:color="auto" w:sz="4" w:space="0"/>
              <w:right w:val="single" w:color="auto" w:sz="4" w:space="0"/>
            </w:tcBorders>
            <w:shd w:val="clear" w:color="auto" w:fill="auto"/>
            <w:noWrap/>
            <w:vAlign w:val="center"/>
          </w:tcPr>
          <w:p w14:paraId="3D59D21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r>
      <w:tr w14:paraId="2A85E08E">
        <w:tblPrEx>
          <w:tblCellMar>
            <w:top w:w="0" w:type="dxa"/>
            <w:left w:w="108" w:type="dxa"/>
            <w:bottom w:w="0" w:type="dxa"/>
            <w:right w:w="108" w:type="dxa"/>
          </w:tblCellMar>
        </w:tblPrEx>
        <w:trPr>
          <w:trHeight w:val="1318"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7C3E31D7">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047009B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档案管理</w:t>
            </w:r>
          </w:p>
        </w:tc>
        <w:tc>
          <w:tcPr>
            <w:tcW w:w="1451" w:type="dxa"/>
            <w:tcBorders>
              <w:top w:val="nil"/>
              <w:left w:val="nil"/>
              <w:bottom w:val="single" w:color="auto" w:sz="4" w:space="0"/>
              <w:right w:val="single" w:color="auto" w:sz="4" w:space="0"/>
            </w:tcBorders>
            <w:shd w:val="clear" w:color="auto" w:fill="auto"/>
            <w:vAlign w:val="center"/>
          </w:tcPr>
          <w:p w14:paraId="73EEA48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项目档案管理规范性</w:t>
            </w:r>
          </w:p>
        </w:tc>
        <w:tc>
          <w:tcPr>
            <w:tcW w:w="1985" w:type="dxa"/>
            <w:tcBorders>
              <w:top w:val="nil"/>
              <w:left w:val="nil"/>
              <w:bottom w:val="single" w:color="auto" w:sz="4" w:space="0"/>
              <w:right w:val="single" w:color="auto" w:sz="4" w:space="0"/>
            </w:tcBorders>
            <w:shd w:val="clear" w:color="auto" w:fill="auto"/>
            <w:vAlign w:val="center"/>
          </w:tcPr>
          <w:p w14:paraId="0FFD29F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规范</w:t>
            </w:r>
          </w:p>
        </w:tc>
        <w:tc>
          <w:tcPr>
            <w:tcW w:w="1701" w:type="dxa"/>
            <w:tcBorders>
              <w:top w:val="nil"/>
              <w:left w:val="nil"/>
              <w:bottom w:val="single" w:color="auto" w:sz="4" w:space="0"/>
              <w:right w:val="single" w:color="auto" w:sz="4" w:space="0"/>
            </w:tcBorders>
            <w:shd w:val="clear" w:color="auto" w:fill="auto"/>
            <w:vAlign w:val="center"/>
          </w:tcPr>
          <w:p w14:paraId="136972E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考量项目档案管理情况</w:t>
            </w:r>
          </w:p>
        </w:tc>
        <w:tc>
          <w:tcPr>
            <w:tcW w:w="533" w:type="dxa"/>
            <w:tcBorders>
              <w:top w:val="nil"/>
              <w:left w:val="nil"/>
              <w:bottom w:val="single" w:color="auto" w:sz="4" w:space="0"/>
              <w:right w:val="single" w:color="auto" w:sz="4" w:space="0"/>
            </w:tcBorders>
            <w:shd w:val="clear" w:color="auto" w:fill="auto"/>
            <w:vAlign w:val="center"/>
          </w:tcPr>
          <w:p w14:paraId="38139C2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71D48E9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从项目档案的归档的及时性、完整性两方面进行定性评价，评级为“规范”的得权重分的100%，评级为“较规范”的得权重分的75%，评级为“不规范”的不得分。</w:t>
            </w:r>
          </w:p>
        </w:tc>
        <w:tc>
          <w:tcPr>
            <w:tcW w:w="1888" w:type="dxa"/>
            <w:tcBorders>
              <w:top w:val="nil"/>
              <w:left w:val="nil"/>
              <w:bottom w:val="single" w:color="auto" w:sz="4" w:space="0"/>
              <w:right w:val="single" w:color="auto" w:sz="4" w:space="0"/>
            </w:tcBorders>
            <w:shd w:val="clear" w:color="auto" w:fill="auto"/>
            <w:vAlign w:val="center"/>
          </w:tcPr>
          <w:p w14:paraId="4D23302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较规范</w:t>
            </w:r>
          </w:p>
        </w:tc>
        <w:tc>
          <w:tcPr>
            <w:tcW w:w="726" w:type="dxa"/>
            <w:tcBorders>
              <w:top w:val="nil"/>
              <w:left w:val="nil"/>
              <w:bottom w:val="single" w:color="auto" w:sz="4" w:space="0"/>
              <w:right w:val="single" w:color="auto" w:sz="4" w:space="0"/>
            </w:tcBorders>
            <w:shd w:val="clear" w:color="auto" w:fill="auto"/>
            <w:noWrap/>
            <w:vAlign w:val="center"/>
          </w:tcPr>
          <w:p w14:paraId="16C0DF1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4</w:t>
            </w:r>
          </w:p>
        </w:tc>
      </w:tr>
      <w:tr w14:paraId="5632A260">
        <w:tblPrEx>
          <w:tblCellMar>
            <w:top w:w="0" w:type="dxa"/>
            <w:left w:w="108" w:type="dxa"/>
            <w:bottom w:w="0" w:type="dxa"/>
            <w:right w:w="108" w:type="dxa"/>
          </w:tblCellMar>
        </w:tblPrEx>
        <w:trPr>
          <w:trHeight w:val="1253" w:hRule="atLeast"/>
          <w:jc w:val="center"/>
        </w:trPr>
        <w:tc>
          <w:tcPr>
            <w:tcW w:w="1044" w:type="dxa"/>
            <w:vMerge w:val="restart"/>
            <w:tcBorders>
              <w:top w:val="nil"/>
              <w:left w:val="single" w:color="auto" w:sz="4" w:space="0"/>
              <w:bottom w:val="single" w:color="auto" w:sz="4" w:space="0"/>
              <w:right w:val="single" w:color="auto" w:sz="4" w:space="0"/>
            </w:tcBorders>
            <w:shd w:val="clear" w:color="auto" w:fill="auto"/>
            <w:vAlign w:val="center"/>
          </w:tcPr>
          <w:p w14:paraId="0B15CA3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产出</w:t>
            </w:r>
          </w:p>
        </w:tc>
        <w:tc>
          <w:tcPr>
            <w:tcW w:w="1242" w:type="dxa"/>
            <w:vMerge w:val="restart"/>
            <w:tcBorders>
              <w:top w:val="nil"/>
              <w:left w:val="single" w:color="auto" w:sz="4" w:space="0"/>
              <w:bottom w:val="single" w:color="000000" w:sz="4" w:space="0"/>
              <w:right w:val="single" w:color="auto" w:sz="4" w:space="0"/>
            </w:tcBorders>
            <w:shd w:val="clear" w:color="auto" w:fill="auto"/>
            <w:vAlign w:val="center"/>
          </w:tcPr>
          <w:p w14:paraId="4834EF6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数量指标</w:t>
            </w:r>
          </w:p>
        </w:tc>
        <w:tc>
          <w:tcPr>
            <w:tcW w:w="1451" w:type="dxa"/>
            <w:tcBorders>
              <w:top w:val="nil"/>
              <w:left w:val="nil"/>
              <w:bottom w:val="single" w:color="auto" w:sz="4" w:space="0"/>
              <w:right w:val="single" w:color="auto" w:sz="4" w:space="0"/>
            </w:tcBorders>
            <w:shd w:val="clear" w:color="auto" w:fill="auto"/>
            <w:vAlign w:val="center"/>
          </w:tcPr>
          <w:p w14:paraId="6DD5C4A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污水处理量</w:t>
            </w:r>
          </w:p>
        </w:tc>
        <w:tc>
          <w:tcPr>
            <w:tcW w:w="1985" w:type="dxa"/>
            <w:tcBorders>
              <w:top w:val="nil"/>
              <w:left w:val="nil"/>
              <w:bottom w:val="single" w:color="auto" w:sz="4" w:space="0"/>
              <w:right w:val="single" w:color="auto" w:sz="4" w:space="0"/>
            </w:tcBorders>
            <w:shd w:val="clear" w:color="auto" w:fill="auto"/>
            <w:vAlign w:val="center"/>
          </w:tcPr>
          <w:p w14:paraId="4DC0A3E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＞上年值</w:t>
            </w:r>
          </w:p>
        </w:tc>
        <w:tc>
          <w:tcPr>
            <w:tcW w:w="1701" w:type="dxa"/>
            <w:tcBorders>
              <w:top w:val="nil"/>
              <w:left w:val="nil"/>
              <w:bottom w:val="single" w:color="auto" w:sz="4" w:space="0"/>
              <w:right w:val="single" w:color="auto" w:sz="4" w:space="0"/>
            </w:tcBorders>
            <w:shd w:val="clear" w:color="auto" w:fill="auto"/>
            <w:vAlign w:val="center"/>
          </w:tcPr>
          <w:p w14:paraId="7A02471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考量2022年度污水处理量</w:t>
            </w:r>
          </w:p>
        </w:tc>
        <w:tc>
          <w:tcPr>
            <w:tcW w:w="533" w:type="dxa"/>
            <w:tcBorders>
              <w:top w:val="nil"/>
              <w:left w:val="nil"/>
              <w:bottom w:val="single" w:color="auto" w:sz="4" w:space="0"/>
              <w:right w:val="single" w:color="auto" w:sz="4" w:space="0"/>
            </w:tcBorders>
            <w:shd w:val="clear" w:color="auto" w:fill="auto"/>
            <w:vAlign w:val="center"/>
          </w:tcPr>
          <w:p w14:paraId="5569C4B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61BA3E24">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根据各污水厂年报计算污水处理量，污水处理量大于上一年得权重分100%，低于上一年污水处理量10%得权重分80%，低于上一年污水处理量30%的不得分。</w:t>
            </w:r>
          </w:p>
        </w:tc>
        <w:tc>
          <w:tcPr>
            <w:tcW w:w="1888" w:type="dxa"/>
            <w:tcBorders>
              <w:top w:val="nil"/>
              <w:left w:val="nil"/>
              <w:bottom w:val="single" w:color="auto" w:sz="4" w:space="0"/>
              <w:right w:val="single" w:color="auto" w:sz="4" w:space="0"/>
            </w:tcBorders>
            <w:shd w:val="clear" w:color="auto" w:fill="auto"/>
            <w:vAlign w:val="center"/>
          </w:tcPr>
          <w:p w14:paraId="4F69B5A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年实际处理量大于2021年</w:t>
            </w:r>
          </w:p>
        </w:tc>
        <w:tc>
          <w:tcPr>
            <w:tcW w:w="726" w:type="dxa"/>
            <w:tcBorders>
              <w:top w:val="nil"/>
              <w:left w:val="nil"/>
              <w:bottom w:val="single" w:color="auto" w:sz="4" w:space="0"/>
              <w:right w:val="single" w:color="auto" w:sz="4" w:space="0"/>
            </w:tcBorders>
            <w:shd w:val="clear" w:color="auto" w:fill="auto"/>
            <w:noWrap/>
            <w:vAlign w:val="center"/>
          </w:tcPr>
          <w:p w14:paraId="7739845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76697117">
        <w:tblPrEx>
          <w:tblCellMar>
            <w:top w:w="0" w:type="dxa"/>
            <w:left w:w="108" w:type="dxa"/>
            <w:bottom w:w="0" w:type="dxa"/>
            <w:right w:w="108" w:type="dxa"/>
          </w:tblCellMar>
        </w:tblPrEx>
        <w:trPr>
          <w:trHeight w:val="120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3DFFF122">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000000" w:sz="4" w:space="0"/>
              <w:right w:val="single" w:color="auto" w:sz="4" w:space="0"/>
            </w:tcBorders>
            <w:vAlign w:val="center"/>
          </w:tcPr>
          <w:p w14:paraId="0AF95862">
            <w:pPr>
              <w:widowControl/>
              <w:jc w:val="left"/>
              <w:rPr>
                <w:rFonts w:ascii="仿宋_GB2312" w:hAnsi="宋体" w:eastAsia="仿宋_GB2312" w:cs="宋体"/>
                <w:color w:val="000000"/>
                <w:kern w:val="0"/>
                <w:sz w:val="20"/>
              </w:rPr>
            </w:pPr>
          </w:p>
        </w:tc>
        <w:tc>
          <w:tcPr>
            <w:tcW w:w="1451" w:type="dxa"/>
            <w:tcBorders>
              <w:top w:val="nil"/>
              <w:left w:val="nil"/>
              <w:bottom w:val="single" w:color="auto" w:sz="4" w:space="0"/>
              <w:right w:val="single" w:color="auto" w:sz="4" w:space="0"/>
            </w:tcBorders>
            <w:shd w:val="clear" w:color="auto" w:fill="auto"/>
            <w:vAlign w:val="center"/>
          </w:tcPr>
          <w:p w14:paraId="56BE7DA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污染物削减率</w:t>
            </w:r>
          </w:p>
        </w:tc>
        <w:tc>
          <w:tcPr>
            <w:tcW w:w="1985" w:type="dxa"/>
            <w:tcBorders>
              <w:top w:val="nil"/>
              <w:left w:val="nil"/>
              <w:bottom w:val="single" w:color="auto" w:sz="4" w:space="0"/>
              <w:right w:val="single" w:color="auto" w:sz="4" w:space="0"/>
            </w:tcBorders>
            <w:shd w:val="clear" w:color="auto" w:fill="auto"/>
            <w:vAlign w:val="center"/>
          </w:tcPr>
          <w:p w14:paraId="66CED1F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＞上年值</w:t>
            </w:r>
          </w:p>
        </w:tc>
        <w:tc>
          <w:tcPr>
            <w:tcW w:w="1701" w:type="dxa"/>
            <w:tcBorders>
              <w:top w:val="nil"/>
              <w:left w:val="nil"/>
              <w:bottom w:val="single" w:color="auto" w:sz="4" w:space="0"/>
              <w:right w:val="single" w:color="auto" w:sz="4" w:space="0"/>
            </w:tcBorders>
            <w:shd w:val="clear" w:color="auto" w:fill="auto"/>
            <w:vAlign w:val="center"/>
          </w:tcPr>
          <w:p w14:paraId="2357921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考量2022年度污水处理厂污染物削减率</w:t>
            </w:r>
          </w:p>
        </w:tc>
        <w:tc>
          <w:tcPr>
            <w:tcW w:w="533" w:type="dxa"/>
            <w:tcBorders>
              <w:top w:val="nil"/>
              <w:left w:val="nil"/>
              <w:bottom w:val="single" w:color="auto" w:sz="4" w:space="0"/>
              <w:right w:val="single" w:color="auto" w:sz="4" w:space="0"/>
            </w:tcBorders>
            <w:shd w:val="clear" w:color="auto" w:fill="auto"/>
            <w:vAlign w:val="center"/>
          </w:tcPr>
          <w:p w14:paraId="5EE0124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nil"/>
              <w:right w:val="nil"/>
            </w:tcBorders>
            <w:shd w:val="clear" w:color="auto" w:fill="auto"/>
            <w:vAlign w:val="center"/>
          </w:tcPr>
          <w:p w14:paraId="60620C49">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本年度污染物消减率大于上一年度得5分，与上一年度持平得4分，小于上年一度得3分。</w:t>
            </w:r>
          </w:p>
        </w:tc>
        <w:tc>
          <w:tcPr>
            <w:tcW w:w="1888" w:type="dxa"/>
            <w:tcBorders>
              <w:top w:val="nil"/>
              <w:left w:val="single" w:color="auto" w:sz="4" w:space="0"/>
              <w:bottom w:val="single" w:color="auto" w:sz="4" w:space="0"/>
              <w:right w:val="single" w:color="auto" w:sz="4" w:space="0"/>
            </w:tcBorders>
            <w:shd w:val="clear" w:color="auto" w:fill="auto"/>
            <w:vAlign w:val="center"/>
          </w:tcPr>
          <w:p w14:paraId="5F0E408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污水厂2022年COD、氨氮、TP消减率均高于2021年</w:t>
            </w:r>
          </w:p>
        </w:tc>
        <w:tc>
          <w:tcPr>
            <w:tcW w:w="726" w:type="dxa"/>
            <w:tcBorders>
              <w:top w:val="nil"/>
              <w:left w:val="nil"/>
              <w:bottom w:val="single" w:color="auto" w:sz="4" w:space="0"/>
              <w:right w:val="single" w:color="auto" w:sz="4" w:space="0"/>
            </w:tcBorders>
            <w:shd w:val="clear" w:color="auto" w:fill="auto"/>
            <w:noWrap/>
            <w:vAlign w:val="center"/>
          </w:tcPr>
          <w:p w14:paraId="04D833A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4A313B8D">
        <w:tblPrEx>
          <w:tblCellMar>
            <w:top w:w="0" w:type="dxa"/>
            <w:left w:w="108" w:type="dxa"/>
            <w:bottom w:w="0" w:type="dxa"/>
            <w:right w:w="108" w:type="dxa"/>
          </w:tblCellMar>
        </w:tblPrEx>
        <w:trPr>
          <w:trHeight w:val="87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08B22CD4">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000000" w:sz="4" w:space="0"/>
              <w:right w:val="single" w:color="auto" w:sz="4" w:space="0"/>
            </w:tcBorders>
            <w:vAlign w:val="center"/>
          </w:tcPr>
          <w:p w14:paraId="774F8807">
            <w:pPr>
              <w:widowControl/>
              <w:jc w:val="left"/>
              <w:rPr>
                <w:rFonts w:ascii="仿宋_GB2312" w:hAnsi="宋体" w:eastAsia="仿宋_GB2312" w:cs="宋体"/>
                <w:color w:val="000000"/>
                <w:kern w:val="0"/>
                <w:sz w:val="20"/>
              </w:rPr>
            </w:pPr>
          </w:p>
        </w:tc>
        <w:tc>
          <w:tcPr>
            <w:tcW w:w="1451" w:type="dxa"/>
            <w:tcBorders>
              <w:top w:val="nil"/>
              <w:left w:val="nil"/>
              <w:bottom w:val="single" w:color="auto" w:sz="4" w:space="0"/>
              <w:right w:val="single" w:color="auto" w:sz="4" w:space="0"/>
            </w:tcBorders>
            <w:shd w:val="clear" w:color="auto" w:fill="auto"/>
            <w:vAlign w:val="center"/>
          </w:tcPr>
          <w:p w14:paraId="5001762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污染物削减量</w:t>
            </w:r>
          </w:p>
        </w:tc>
        <w:tc>
          <w:tcPr>
            <w:tcW w:w="1985" w:type="dxa"/>
            <w:tcBorders>
              <w:top w:val="nil"/>
              <w:left w:val="nil"/>
              <w:bottom w:val="single" w:color="auto" w:sz="4" w:space="0"/>
              <w:right w:val="single" w:color="auto" w:sz="4" w:space="0"/>
            </w:tcBorders>
            <w:shd w:val="clear" w:color="auto" w:fill="auto"/>
            <w:vAlign w:val="center"/>
          </w:tcPr>
          <w:p w14:paraId="1AB32E3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＞上年值</w:t>
            </w:r>
          </w:p>
        </w:tc>
        <w:tc>
          <w:tcPr>
            <w:tcW w:w="1701" w:type="dxa"/>
            <w:tcBorders>
              <w:top w:val="nil"/>
              <w:left w:val="nil"/>
              <w:bottom w:val="single" w:color="auto" w:sz="4" w:space="0"/>
              <w:right w:val="single" w:color="auto" w:sz="4" w:space="0"/>
            </w:tcBorders>
            <w:shd w:val="clear" w:color="auto" w:fill="auto"/>
            <w:vAlign w:val="center"/>
          </w:tcPr>
          <w:p w14:paraId="1164E9A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考量2022年度污水处理厂污染物削减量</w:t>
            </w:r>
          </w:p>
        </w:tc>
        <w:tc>
          <w:tcPr>
            <w:tcW w:w="533" w:type="dxa"/>
            <w:tcBorders>
              <w:top w:val="nil"/>
              <w:left w:val="nil"/>
              <w:bottom w:val="single" w:color="auto" w:sz="4" w:space="0"/>
              <w:right w:val="single" w:color="auto" w:sz="4" w:space="0"/>
            </w:tcBorders>
            <w:shd w:val="clear" w:color="auto" w:fill="auto"/>
            <w:vAlign w:val="center"/>
          </w:tcPr>
          <w:p w14:paraId="549AF22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single" w:color="auto" w:sz="4" w:space="0"/>
              <w:left w:val="nil"/>
              <w:bottom w:val="single" w:color="auto" w:sz="4" w:space="0"/>
              <w:right w:val="single" w:color="auto" w:sz="4" w:space="0"/>
            </w:tcBorders>
            <w:shd w:val="clear" w:color="auto" w:fill="auto"/>
            <w:vAlign w:val="center"/>
          </w:tcPr>
          <w:p w14:paraId="5C793D9C">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消减量＞上年值得5分，消减量与上一年持平得3分，消减量&lt;上年值不得分。</w:t>
            </w:r>
          </w:p>
        </w:tc>
        <w:tc>
          <w:tcPr>
            <w:tcW w:w="1888" w:type="dxa"/>
            <w:tcBorders>
              <w:top w:val="nil"/>
              <w:left w:val="nil"/>
              <w:bottom w:val="single" w:color="auto" w:sz="4" w:space="0"/>
              <w:right w:val="single" w:color="auto" w:sz="4" w:space="0"/>
            </w:tcBorders>
            <w:shd w:val="clear" w:color="auto" w:fill="auto"/>
            <w:vAlign w:val="center"/>
          </w:tcPr>
          <w:p w14:paraId="402E0CC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＞上年值</w:t>
            </w:r>
          </w:p>
        </w:tc>
        <w:tc>
          <w:tcPr>
            <w:tcW w:w="726" w:type="dxa"/>
            <w:tcBorders>
              <w:top w:val="nil"/>
              <w:left w:val="nil"/>
              <w:bottom w:val="single" w:color="auto" w:sz="4" w:space="0"/>
              <w:right w:val="single" w:color="auto" w:sz="4" w:space="0"/>
            </w:tcBorders>
            <w:shd w:val="clear" w:color="auto" w:fill="auto"/>
            <w:noWrap/>
            <w:vAlign w:val="center"/>
          </w:tcPr>
          <w:p w14:paraId="7E683F1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720B8534">
        <w:tblPrEx>
          <w:tblCellMar>
            <w:top w:w="0" w:type="dxa"/>
            <w:left w:w="108" w:type="dxa"/>
            <w:bottom w:w="0" w:type="dxa"/>
            <w:right w:w="108" w:type="dxa"/>
          </w:tblCellMar>
        </w:tblPrEx>
        <w:trPr>
          <w:trHeight w:val="765"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368C33ED">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000000" w:sz="4" w:space="0"/>
              <w:right w:val="single" w:color="auto" w:sz="4" w:space="0"/>
            </w:tcBorders>
            <w:vAlign w:val="center"/>
          </w:tcPr>
          <w:p w14:paraId="1DE51FC0">
            <w:pPr>
              <w:widowControl/>
              <w:jc w:val="left"/>
              <w:rPr>
                <w:rFonts w:ascii="仿宋_GB2312" w:hAnsi="宋体" w:eastAsia="仿宋_GB2312" w:cs="宋体"/>
                <w:color w:val="000000"/>
                <w:kern w:val="0"/>
                <w:sz w:val="20"/>
              </w:rPr>
            </w:pPr>
          </w:p>
        </w:tc>
        <w:tc>
          <w:tcPr>
            <w:tcW w:w="1451" w:type="dxa"/>
            <w:tcBorders>
              <w:top w:val="single" w:color="auto" w:sz="4" w:space="0"/>
              <w:left w:val="nil"/>
              <w:bottom w:val="single" w:color="auto" w:sz="4" w:space="0"/>
              <w:right w:val="single" w:color="auto" w:sz="4" w:space="0"/>
            </w:tcBorders>
            <w:shd w:val="clear" w:color="auto" w:fill="auto"/>
            <w:vAlign w:val="center"/>
          </w:tcPr>
          <w:p w14:paraId="418AFDF1">
            <w:pPr>
              <w:widowControl/>
              <w:jc w:val="center"/>
              <w:rPr>
                <w:rFonts w:ascii="仿宋_GB2312" w:hAnsi="宋体" w:eastAsia="仿宋_GB2312" w:cs="宋体"/>
                <w:color w:val="000000"/>
                <w:kern w:val="0"/>
                <w:sz w:val="20"/>
              </w:rPr>
            </w:pPr>
            <w:r>
              <w:rPr>
                <w:rFonts w:ascii="仿宋_GB2312" w:hAnsi="宋体" w:eastAsia="仿宋_GB2312" w:cs="宋体"/>
                <w:color w:val="000000"/>
                <w:kern w:val="0"/>
                <w:sz w:val="20"/>
              </w:rPr>
              <w:pict>
                <v:shape id="_x0000_s1030" o:spid="_x0000_s1030" o:spt="32" type="#_x0000_t32" style="position:absolute;left:0pt;margin-left:-119.55pt;margin-top:-3.25pt;height:0pt;width:115.5pt;z-index:251662336;mso-width-relative:page;mso-height-relative:page;" o:connectortype="straight" filled="f" coordsize="21600,21600">
                  <v:path arrowok="t"/>
                  <v:fill on="f" focussize="0,0"/>
                  <v:stroke/>
                  <v:imagedata o:title=""/>
                  <o:lock v:ext="edit"/>
                </v:shape>
              </w:pict>
            </w:r>
            <w:r>
              <w:rPr>
                <w:rFonts w:hint="eastAsia" w:ascii="仿宋_GB2312" w:hAnsi="宋体" w:eastAsia="仿宋_GB2312" w:cs="宋体"/>
                <w:color w:val="000000"/>
                <w:kern w:val="0"/>
                <w:sz w:val="20"/>
              </w:rPr>
              <w:t>尾水排放达标率</w:t>
            </w:r>
          </w:p>
        </w:tc>
        <w:tc>
          <w:tcPr>
            <w:tcW w:w="1985" w:type="dxa"/>
            <w:tcBorders>
              <w:top w:val="single" w:color="auto" w:sz="4" w:space="0"/>
              <w:left w:val="nil"/>
              <w:bottom w:val="single" w:color="auto" w:sz="4" w:space="0"/>
              <w:right w:val="single" w:color="auto" w:sz="4" w:space="0"/>
            </w:tcBorders>
            <w:shd w:val="clear" w:color="auto" w:fill="auto"/>
            <w:vAlign w:val="center"/>
          </w:tcPr>
          <w:p w14:paraId="07A6223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＞99%</w:t>
            </w:r>
          </w:p>
        </w:tc>
        <w:tc>
          <w:tcPr>
            <w:tcW w:w="1701" w:type="dxa"/>
            <w:tcBorders>
              <w:top w:val="single" w:color="auto" w:sz="4" w:space="0"/>
              <w:left w:val="nil"/>
              <w:bottom w:val="single" w:color="auto" w:sz="4" w:space="0"/>
              <w:right w:val="single" w:color="auto" w:sz="4" w:space="0"/>
            </w:tcBorders>
            <w:shd w:val="clear" w:color="auto" w:fill="auto"/>
            <w:vAlign w:val="center"/>
          </w:tcPr>
          <w:p w14:paraId="2B6F910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考量污水处理厂尾水排放达标率</w:t>
            </w:r>
          </w:p>
        </w:tc>
        <w:tc>
          <w:tcPr>
            <w:tcW w:w="533" w:type="dxa"/>
            <w:tcBorders>
              <w:top w:val="single" w:color="auto" w:sz="4" w:space="0"/>
              <w:left w:val="nil"/>
              <w:bottom w:val="single" w:color="auto" w:sz="4" w:space="0"/>
              <w:right w:val="single" w:color="auto" w:sz="4" w:space="0"/>
            </w:tcBorders>
            <w:shd w:val="clear" w:color="auto" w:fill="auto"/>
            <w:vAlign w:val="center"/>
          </w:tcPr>
          <w:p w14:paraId="34FADA7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single" w:color="auto" w:sz="4" w:space="0"/>
              <w:left w:val="nil"/>
              <w:bottom w:val="single" w:color="auto" w:sz="4" w:space="0"/>
              <w:right w:val="single" w:color="auto" w:sz="4" w:space="0"/>
            </w:tcBorders>
            <w:shd w:val="clear" w:color="auto" w:fill="auto"/>
            <w:vAlign w:val="center"/>
          </w:tcPr>
          <w:p w14:paraId="16E576D2">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尾水排放达标率大于99%得5分，小于99%不得分</w:t>
            </w:r>
          </w:p>
        </w:tc>
        <w:tc>
          <w:tcPr>
            <w:tcW w:w="1888" w:type="dxa"/>
            <w:tcBorders>
              <w:top w:val="nil"/>
              <w:left w:val="nil"/>
              <w:bottom w:val="single" w:color="auto" w:sz="4" w:space="0"/>
              <w:right w:val="single" w:color="auto" w:sz="4" w:space="0"/>
            </w:tcBorders>
            <w:shd w:val="clear" w:color="auto" w:fill="auto"/>
            <w:vAlign w:val="center"/>
          </w:tcPr>
          <w:p w14:paraId="48A8D5D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100%</w:t>
            </w:r>
          </w:p>
        </w:tc>
        <w:tc>
          <w:tcPr>
            <w:tcW w:w="726" w:type="dxa"/>
            <w:tcBorders>
              <w:top w:val="nil"/>
              <w:left w:val="nil"/>
              <w:bottom w:val="single" w:color="auto" w:sz="4" w:space="0"/>
              <w:right w:val="single" w:color="auto" w:sz="4" w:space="0"/>
            </w:tcBorders>
            <w:shd w:val="clear" w:color="auto" w:fill="auto"/>
            <w:noWrap/>
            <w:vAlign w:val="center"/>
          </w:tcPr>
          <w:p w14:paraId="45D2CB6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55B765FA">
        <w:tblPrEx>
          <w:tblCellMar>
            <w:top w:w="0" w:type="dxa"/>
            <w:left w:w="108" w:type="dxa"/>
            <w:bottom w:w="0" w:type="dxa"/>
            <w:right w:w="108" w:type="dxa"/>
          </w:tblCellMar>
        </w:tblPrEx>
        <w:trPr>
          <w:trHeight w:val="765"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59D7C1E6">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000000" w:sz="4" w:space="0"/>
              <w:right w:val="single" w:color="auto" w:sz="4" w:space="0"/>
            </w:tcBorders>
            <w:vAlign w:val="center"/>
          </w:tcPr>
          <w:p w14:paraId="794960AB">
            <w:pPr>
              <w:widowControl/>
              <w:jc w:val="left"/>
              <w:rPr>
                <w:rFonts w:ascii="仿宋_GB2312" w:hAnsi="宋体" w:eastAsia="仿宋_GB2312" w:cs="宋体"/>
                <w:color w:val="000000"/>
                <w:kern w:val="0"/>
                <w:sz w:val="20"/>
              </w:rPr>
            </w:pPr>
          </w:p>
        </w:tc>
        <w:tc>
          <w:tcPr>
            <w:tcW w:w="1451" w:type="dxa"/>
            <w:tcBorders>
              <w:top w:val="nil"/>
              <w:left w:val="nil"/>
              <w:bottom w:val="single" w:color="auto" w:sz="4" w:space="0"/>
              <w:right w:val="single" w:color="auto" w:sz="4" w:space="0"/>
            </w:tcBorders>
            <w:shd w:val="clear" w:color="auto" w:fill="auto"/>
            <w:vAlign w:val="center"/>
          </w:tcPr>
          <w:p w14:paraId="32EADCE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污水处理厂安全宣传、培训完成率</w:t>
            </w:r>
          </w:p>
        </w:tc>
        <w:tc>
          <w:tcPr>
            <w:tcW w:w="1985" w:type="dxa"/>
            <w:tcBorders>
              <w:top w:val="nil"/>
              <w:left w:val="nil"/>
              <w:bottom w:val="single" w:color="auto" w:sz="4" w:space="0"/>
              <w:right w:val="single" w:color="auto" w:sz="4" w:space="0"/>
            </w:tcBorders>
            <w:shd w:val="clear" w:color="auto" w:fill="auto"/>
            <w:vAlign w:val="center"/>
          </w:tcPr>
          <w:p w14:paraId="6209DB3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≥5场</w:t>
            </w:r>
          </w:p>
        </w:tc>
        <w:tc>
          <w:tcPr>
            <w:tcW w:w="1701" w:type="dxa"/>
            <w:tcBorders>
              <w:top w:val="nil"/>
              <w:left w:val="nil"/>
              <w:bottom w:val="single" w:color="auto" w:sz="4" w:space="0"/>
              <w:right w:val="single" w:color="auto" w:sz="4" w:space="0"/>
            </w:tcBorders>
            <w:shd w:val="clear" w:color="auto" w:fill="auto"/>
            <w:vAlign w:val="center"/>
          </w:tcPr>
          <w:p w14:paraId="3CD405C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考量污水处理厂安全宣传情况</w:t>
            </w:r>
          </w:p>
        </w:tc>
        <w:tc>
          <w:tcPr>
            <w:tcW w:w="533" w:type="dxa"/>
            <w:tcBorders>
              <w:top w:val="nil"/>
              <w:left w:val="nil"/>
              <w:bottom w:val="single" w:color="auto" w:sz="4" w:space="0"/>
              <w:right w:val="single" w:color="auto" w:sz="4" w:space="0"/>
            </w:tcBorders>
            <w:shd w:val="clear" w:color="auto" w:fill="auto"/>
            <w:vAlign w:val="center"/>
          </w:tcPr>
          <w:p w14:paraId="48C1328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17ABE4A5">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达5场，得满分；达4场，得4分，在1场以下，不得分。</w:t>
            </w:r>
          </w:p>
        </w:tc>
        <w:tc>
          <w:tcPr>
            <w:tcW w:w="1888" w:type="dxa"/>
            <w:tcBorders>
              <w:top w:val="nil"/>
              <w:left w:val="nil"/>
              <w:bottom w:val="single" w:color="auto" w:sz="4" w:space="0"/>
              <w:right w:val="single" w:color="auto" w:sz="4" w:space="0"/>
            </w:tcBorders>
            <w:shd w:val="clear" w:color="auto" w:fill="auto"/>
            <w:vAlign w:val="center"/>
          </w:tcPr>
          <w:p w14:paraId="61D9665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≥5场</w:t>
            </w:r>
          </w:p>
        </w:tc>
        <w:tc>
          <w:tcPr>
            <w:tcW w:w="726" w:type="dxa"/>
            <w:tcBorders>
              <w:top w:val="nil"/>
              <w:left w:val="nil"/>
              <w:bottom w:val="single" w:color="auto" w:sz="4" w:space="0"/>
              <w:right w:val="single" w:color="auto" w:sz="4" w:space="0"/>
            </w:tcBorders>
            <w:shd w:val="clear" w:color="auto" w:fill="auto"/>
            <w:noWrap/>
            <w:vAlign w:val="center"/>
          </w:tcPr>
          <w:p w14:paraId="5E7C550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49593CEA">
        <w:tblPrEx>
          <w:tblCellMar>
            <w:top w:w="0" w:type="dxa"/>
            <w:left w:w="108" w:type="dxa"/>
            <w:bottom w:w="0" w:type="dxa"/>
            <w:right w:w="108" w:type="dxa"/>
          </w:tblCellMar>
        </w:tblPrEx>
        <w:trPr>
          <w:trHeight w:val="942"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00D6A843">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4D6FB55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质量指标</w:t>
            </w:r>
          </w:p>
        </w:tc>
        <w:tc>
          <w:tcPr>
            <w:tcW w:w="1451" w:type="dxa"/>
            <w:tcBorders>
              <w:top w:val="nil"/>
              <w:left w:val="nil"/>
              <w:bottom w:val="single" w:color="auto" w:sz="4" w:space="0"/>
              <w:right w:val="single" w:color="auto" w:sz="4" w:space="0"/>
            </w:tcBorders>
            <w:shd w:val="clear" w:color="auto" w:fill="auto"/>
            <w:vAlign w:val="center"/>
          </w:tcPr>
          <w:p w14:paraId="3A3521D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设备正常运行率</w:t>
            </w:r>
          </w:p>
        </w:tc>
        <w:tc>
          <w:tcPr>
            <w:tcW w:w="1985" w:type="dxa"/>
            <w:tcBorders>
              <w:top w:val="nil"/>
              <w:left w:val="nil"/>
              <w:bottom w:val="single" w:color="auto" w:sz="4" w:space="0"/>
              <w:right w:val="single" w:color="auto" w:sz="4" w:space="0"/>
            </w:tcBorders>
            <w:shd w:val="clear" w:color="auto" w:fill="auto"/>
            <w:vAlign w:val="center"/>
          </w:tcPr>
          <w:p w14:paraId="4F77C62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＞95%</w:t>
            </w:r>
          </w:p>
        </w:tc>
        <w:tc>
          <w:tcPr>
            <w:tcW w:w="1701" w:type="dxa"/>
            <w:tcBorders>
              <w:top w:val="nil"/>
              <w:left w:val="nil"/>
              <w:bottom w:val="single" w:color="auto" w:sz="4" w:space="0"/>
              <w:right w:val="single" w:color="auto" w:sz="4" w:space="0"/>
            </w:tcBorders>
            <w:shd w:val="clear" w:color="auto" w:fill="auto"/>
            <w:vAlign w:val="center"/>
          </w:tcPr>
          <w:p w14:paraId="03C2FD0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考量污水处理厂设备正常运行率</w:t>
            </w:r>
          </w:p>
        </w:tc>
        <w:tc>
          <w:tcPr>
            <w:tcW w:w="533" w:type="dxa"/>
            <w:tcBorders>
              <w:top w:val="nil"/>
              <w:left w:val="nil"/>
              <w:bottom w:val="single" w:color="auto" w:sz="4" w:space="0"/>
              <w:right w:val="single" w:color="auto" w:sz="4" w:space="0"/>
            </w:tcBorders>
            <w:shd w:val="clear" w:color="auto" w:fill="auto"/>
            <w:vAlign w:val="center"/>
          </w:tcPr>
          <w:p w14:paraId="7B4A27D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c>
          <w:tcPr>
            <w:tcW w:w="4082" w:type="dxa"/>
            <w:tcBorders>
              <w:top w:val="nil"/>
              <w:left w:val="nil"/>
              <w:bottom w:val="single" w:color="auto" w:sz="4" w:space="0"/>
              <w:right w:val="single" w:color="auto" w:sz="4" w:space="0"/>
            </w:tcBorders>
            <w:shd w:val="clear" w:color="auto" w:fill="auto"/>
            <w:vAlign w:val="center"/>
          </w:tcPr>
          <w:p w14:paraId="06CEE522">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设备正常运行率＞95%得6分，95%≥设备正常运行率＞90%得3分，设备正常运行率≤90%不得分</w:t>
            </w:r>
          </w:p>
        </w:tc>
        <w:tc>
          <w:tcPr>
            <w:tcW w:w="1888" w:type="dxa"/>
            <w:tcBorders>
              <w:top w:val="nil"/>
              <w:left w:val="nil"/>
              <w:bottom w:val="single" w:color="auto" w:sz="4" w:space="0"/>
              <w:right w:val="single" w:color="auto" w:sz="4" w:space="0"/>
            </w:tcBorders>
            <w:shd w:val="clear" w:color="auto" w:fill="auto"/>
            <w:vAlign w:val="center"/>
          </w:tcPr>
          <w:p w14:paraId="2ED9B7A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＞95%</w:t>
            </w:r>
          </w:p>
        </w:tc>
        <w:tc>
          <w:tcPr>
            <w:tcW w:w="726" w:type="dxa"/>
            <w:tcBorders>
              <w:top w:val="nil"/>
              <w:left w:val="nil"/>
              <w:bottom w:val="single" w:color="auto" w:sz="4" w:space="0"/>
              <w:right w:val="single" w:color="auto" w:sz="4" w:space="0"/>
            </w:tcBorders>
            <w:shd w:val="clear" w:color="auto" w:fill="auto"/>
            <w:noWrap/>
            <w:vAlign w:val="center"/>
          </w:tcPr>
          <w:p w14:paraId="168347B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r>
      <w:tr w14:paraId="167D9308">
        <w:tblPrEx>
          <w:tblCellMar>
            <w:top w:w="0" w:type="dxa"/>
            <w:left w:w="108" w:type="dxa"/>
            <w:bottom w:w="0" w:type="dxa"/>
            <w:right w:w="108" w:type="dxa"/>
          </w:tblCellMar>
        </w:tblPrEx>
        <w:trPr>
          <w:trHeight w:val="840" w:hRule="atLeast"/>
          <w:jc w:val="center"/>
        </w:trPr>
        <w:tc>
          <w:tcPr>
            <w:tcW w:w="1044" w:type="dxa"/>
            <w:vMerge w:val="continue"/>
            <w:tcBorders>
              <w:top w:val="nil"/>
              <w:left w:val="single" w:color="auto" w:sz="4" w:space="0"/>
              <w:bottom w:val="single" w:color="auto" w:sz="4" w:space="0"/>
              <w:right w:val="single" w:color="auto" w:sz="4" w:space="0"/>
            </w:tcBorders>
            <w:vAlign w:val="center"/>
          </w:tcPr>
          <w:p w14:paraId="48B7BFEA">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6E8F59A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成本指标</w:t>
            </w:r>
          </w:p>
        </w:tc>
        <w:tc>
          <w:tcPr>
            <w:tcW w:w="1451" w:type="dxa"/>
            <w:tcBorders>
              <w:top w:val="nil"/>
              <w:left w:val="nil"/>
              <w:bottom w:val="single" w:color="auto" w:sz="4" w:space="0"/>
              <w:right w:val="single" w:color="auto" w:sz="4" w:space="0"/>
            </w:tcBorders>
            <w:shd w:val="clear" w:color="auto" w:fill="auto"/>
            <w:vAlign w:val="center"/>
          </w:tcPr>
          <w:p w14:paraId="1EE7CF4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成本节约率</w:t>
            </w:r>
          </w:p>
        </w:tc>
        <w:tc>
          <w:tcPr>
            <w:tcW w:w="1985" w:type="dxa"/>
            <w:tcBorders>
              <w:top w:val="nil"/>
              <w:left w:val="nil"/>
              <w:bottom w:val="single" w:color="auto" w:sz="4" w:space="0"/>
              <w:right w:val="single" w:color="auto" w:sz="4" w:space="0"/>
            </w:tcBorders>
            <w:shd w:val="clear" w:color="auto" w:fill="auto"/>
            <w:vAlign w:val="center"/>
          </w:tcPr>
          <w:p w14:paraId="43AD49CF">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w:t>
            </w:r>
          </w:p>
        </w:tc>
        <w:tc>
          <w:tcPr>
            <w:tcW w:w="1701" w:type="dxa"/>
            <w:tcBorders>
              <w:top w:val="nil"/>
              <w:left w:val="nil"/>
              <w:bottom w:val="single" w:color="auto" w:sz="4" w:space="0"/>
              <w:right w:val="single" w:color="auto" w:sz="4" w:space="0"/>
            </w:tcBorders>
            <w:shd w:val="clear" w:color="auto" w:fill="auto"/>
            <w:vAlign w:val="center"/>
          </w:tcPr>
          <w:p w14:paraId="4EEBB0B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考量污水处理厂成本节约量</w:t>
            </w:r>
          </w:p>
        </w:tc>
        <w:tc>
          <w:tcPr>
            <w:tcW w:w="533" w:type="dxa"/>
            <w:tcBorders>
              <w:top w:val="nil"/>
              <w:left w:val="nil"/>
              <w:bottom w:val="single" w:color="auto" w:sz="4" w:space="0"/>
              <w:right w:val="single" w:color="auto" w:sz="4" w:space="0"/>
            </w:tcBorders>
            <w:shd w:val="clear" w:color="auto" w:fill="auto"/>
            <w:vAlign w:val="center"/>
          </w:tcPr>
          <w:p w14:paraId="6F81D40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c>
          <w:tcPr>
            <w:tcW w:w="4082" w:type="dxa"/>
            <w:tcBorders>
              <w:top w:val="nil"/>
              <w:left w:val="nil"/>
              <w:bottom w:val="nil"/>
              <w:right w:val="nil"/>
            </w:tcBorders>
            <w:shd w:val="clear" w:color="auto" w:fill="auto"/>
            <w:vAlign w:val="center"/>
          </w:tcPr>
          <w:p w14:paraId="7C932026">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本年度主要成本节约率≤1得6分，节约率＞1得3分</w:t>
            </w:r>
          </w:p>
        </w:tc>
        <w:tc>
          <w:tcPr>
            <w:tcW w:w="1888" w:type="dxa"/>
            <w:tcBorders>
              <w:top w:val="nil"/>
              <w:left w:val="single" w:color="auto" w:sz="4" w:space="0"/>
              <w:bottom w:val="single" w:color="auto" w:sz="4" w:space="0"/>
              <w:right w:val="single" w:color="auto" w:sz="4" w:space="0"/>
            </w:tcBorders>
            <w:shd w:val="clear" w:color="auto" w:fill="auto"/>
            <w:vAlign w:val="center"/>
          </w:tcPr>
          <w:p w14:paraId="65B86C8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0.99</w:t>
            </w:r>
          </w:p>
        </w:tc>
        <w:tc>
          <w:tcPr>
            <w:tcW w:w="726" w:type="dxa"/>
            <w:tcBorders>
              <w:top w:val="nil"/>
              <w:left w:val="nil"/>
              <w:bottom w:val="single" w:color="auto" w:sz="4" w:space="0"/>
              <w:right w:val="single" w:color="auto" w:sz="4" w:space="0"/>
            </w:tcBorders>
            <w:shd w:val="clear" w:color="auto" w:fill="auto"/>
            <w:noWrap/>
            <w:vAlign w:val="center"/>
          </w:tcPr>
          <w:p w14:paraId="2B30D94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r>
      <w:tr w14:paraId="68571A42">
        <w:tblPrEx>
          <w:tblCellMar>
            <w:top w:w="0" w:type="dxa"/>
            <w:left w:w="108" w:type="dxa"/>
            <w:bottom w:w="0" w:type="dxa"/>
            <w:right w:w="108" w:type="dxa"/>
          </w:tblCellMar>
        </w:tblPrEx>
        <w:trPr>
          <w:trHeight w:val="735" w:hRule="atLeast"/>
          <w:jc w:val="center"/>
        </w:trPr>
        <w:tc>
          <w:tcPr>
            <w:tcW w:w="1044" w:type="dxa"/>
            <w:vMerge w:val="restart"/>
            <w:tcBorders>
              <w:top w:val="nil"/>
              <w:left w:val="single" w:color="auto" w:sz="4" w:space="0"/>
              <w:bottom w:val="single" w:color="000000" w:sz="4" w:space="0"/>
              <w:right w:val="single" w:color="auto" w:sz="4" w:space="0"/>
            </w:tcBorders>
            <w:shd w:val="clear" w:color="auto" w:fill="auto"/>
            <w:vAlign w:val="center"/>
          </w:tcPr>
          <w:p w14:paraId="725909F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效果</w:t>
            </w:r>
          </w:p>
        </w:tc>
        <w:tc>
          <w:tcPr>
            <w:tcW w:w="1242" w:type="dxa"/>
            <w:tcBorders>
              <w:top w:val="nil"/>
              <w:left w:val="nil"/>
              <w:bottom w:val="single" w:color="auto" w:sz="4" w:space="0"/>
              <w:right w:val="single" w:color="auto" w:sz="4" w:space="0"/>
            </w:tcBorders>
            <w:shd w:val="clear" w:color="auto" w:fill="auto"/>
            <w:vAlign w:val="center"/>
          </w:tcPr>
          <w:p w14:paraId="2F2A7F5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社会效益指标</w:t>
            </w:r>
          </w:p>
        </w:tc>
        <w:tc>
          <w:tcPr>
            <w:tcW w:w="1451" w:type="dxa"/>
            <w:tcBorders>
              <w:top w:val="nil"/>
              <w:left w:val="nil"/>
              <w:bottom w:val="single" w:color="auto" w:sz="4" w:space="0"/>
              <w:right w:val="single" w:color="auto" w:sz="4" w:space="0"/>
            </w:tcBorders>
            <w:shd w:val="clear" w:color="auto" w:fill="auto"/>
            <w:vAlign w:val="center"/>
          </w:tcPr>
          <w:p w14:paraId="60368D9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提升水环境质量</w:t>
            </w:r>
          </w:p>
        </w:tc>
        <w:tc>
          <w:tcPr>
            <w:tcW w:w="1985" w:type="dxa"/>
            <w:tcBorders>
              <w:top w:val="nil"/>
              <w:left w:val="nil"/>
              <w:bottom w:val="single" w:color="auto" w:sz="4" w:space="0"/>
              <w:right w:val="single" w:color="auto" w:sz="4" w:space="0"/>
            </w:tcBorders>
            <w:shd w:val="clear" w:color="auto" w:fill="auto"/>
            <w:vAlign w:val="center"/>
          </w:tcPr>
          <w:p w14:paraId="3D45B5F2">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提升</w:t>
            </w:r>
          </w:p>
        </w:tc>
        <w:tc>
          <w:tcPr>
            <w:tcW w:w="1701" w:type="dxa"/>
            <w:tcBorders>
              <w:top w:val="nil"/>
              <w:left w:val="nil"/>
              <w:bottom w:val="single" w:color="auto" w:sz="4" w:space="0"/>
              <w:right w:val="single" w:color="auto" w:sz="4" w:space="0"/>
            </w:tcBorders>
            <w:shd w:val="clear" w:color="auto" w:fill="auto"/>
            <w:vAlign w:val="center"/>
          </w:tcPr>
          <w:p w14:paraId="15D3FBC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考量水环境提升质量</w:t>
            </w:r>
          </w:p>
        </w:tc>
        <w:tc>
          <w:tcPr>
            <w:tcW w:w="533" w:type="dxa"/>
            <w:tcBorders>
              <w:top w:val="nil"/>
              <w:left w:val="nil"/>
              <w:bottom w:val="single" w:color="auto" w:sz="4" w:space="0"/>
              <w:right w:val="single" w:color="auto" w:sz="4" w:space="0"/>
            </w:tcBorders>
            <w:shd w:val="clear" w:color="auto" w:fill="auto"/>
            <w:vAlign w:val="center"/>
          </w:tcPr>
          <w:p w14:paraId="3363FFF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c>
          <w:tcPr>
            <w:tcW w:w="4082" w:type="dxa"/>
            <w:tcBorders>
              <w:top w:val="single" w:color="auto" w:sz="4" w:space="0"/>
              <w:left w:val="nil"/>
              <w:bottom w:val="single" w:color="auto" w:sz="4" w:space="0"/>
              <w:right w:val="single" w:color="auto" w:sz="4" w:space="0"/>
            </w:tcBorders>
            <w:shd w:val="clear" w:color="auto" w:fill="auto"/>
            <w:vAlign w:val="center"/>
          </w:tcPr>
          <w:p w14:paraId="19E5C4C6">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全年处理污水达标排放得6分，出现一次水指未达标排放导致污染事件不得分。</w:t>
            </w:r>
          </w:p>
        </w:tc>
        <w:tc>
          <w:tcPr>
            <w:tcW w:w="1888" w:type="dxa"/>
            <w:tcBorders>
              <w:top w:val="nil"/>
              <w:left w:val="nil"/>
              <w:bottom w:val="single" w:color="auto" w:sz="4" w:space="0"/>
              <w:right w:val="single" w:color="auto" w:sz="4" w:space="0"/>
            </w:tcBorders>
            <w:shd w:val="clear" w:color="auto" w:fill="auto"/>
            <w:vAlign w:val="center"/>
          </w:tcPr>
          <w:p w14:paraId="781D60E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提升</w:t>
            </w:r>
          </w:p>
        </w:tc>
        <w:tc>
          <w:tcPr>
            <w:tcW w:w="726" w:type="dxa"/>
            <w:tcBorders>
              <w:top w:val="nil"/>
              <w:left w:val="nil"/>
              <w:bottom w:val="single" w:color="auto" w:sz="4" w:space="0"/>
              <w:right w:val="single" w:color="auto" w:sz="4" w:space="0"/>
            </w:tcBorders>
            <w:shd w:val="clear" w:color="auto" w:fill="auto"/>
            <w:noWrap/>
            <w:vAlign w:val="center"/>
          </w:tcPr>
          <w:p w14:paraId="31FF72E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6</w:t>
            </w:r>
          </w:p>
        </w:tc>
      </w:tr>
      <w:tr w14:paraId="15477E88">
        <w:tblPrEx>
          <w:tblCellMar>
            <w:top w:w="0" w:type="dxa"/>
            <w:left w:w="108" w:type="dxa"/>
            <w:bottom w:w="0" w:type="dxa"/>
            <w:right w:w="108" w:type="dxa"/>
          </w:tblCellMar>
        </w:tblPrEx>
        <w:trPr>
          <w:trHeight w:val="1200" w:hRule="atLeast"/>
          <w:jc w:val="center"/>
        </w:trPr>
        <w:tc>
          <w:tcPr>
            <w:tcW w:w="1044" w:type="dxa"/>
            <w:vMerge w:val="continue"/>
            <w:tcBorders>
              <w:top w:val="nil"/>
              <w:left w:val="single" w:color="auto" w:sz="4" w:space="0"/>
              <w:bottom w:val="single" w:color="000000" w:sz="4" w:space="0"/>
              <w:right w:val="single" w:color="auto" w:sz="4" w:space="0"/>
            </w:tcBorders>
            <w:vAlign w:val="center"/>
          </w:tcPr>
          <w:p w14:paraId="3D8BDF5C">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3F5468D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生态效益</w:t>
            </w:r>
          </w:p>
        </w:tc>
        <w:tc>
          <w:tcPr>
            <w:tcW w:w="1451" w:type="dxa"/>
            <w:tcBorders>
              <w:top w:val="nil"/>
              <w:left w:val="nil"/>
              <w:bottom w:val="single" w:color="auto" w:sz="4" w:space="0"/>
              <w:right w:val="single" w:color="auto" w:sz="4" w:space="0"/>
            </w:tcBorders>
            <w:shd w:val="clear" w:color="auto" w:fill="auto"/>
            <w:vAlign w:val="center"/>
          </w:tcPr>
          <w:p w14:paraId="759A7664">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减少污染物排放</w:t>
            </w:r>
          </w:p>
        </w:tc>
        <w:tc>
          <w:tcPr>
            <w:tcW w:w="1985" w:type="dxa"/>
            <w:tcBorders>
              <w:top w:val="nil"/>
              <w:left w:val="nil"/>
              <w:bottom w:val="single" w:color="auto" w:sz="4" w:space="0"/>
              <w:right w:val="single" w:color="auto" w:sz="4" w:space="0"/>
            </w:tcBorders>
            <w:shd w:val="clear" w:color="auto" w:fill="auto"/>
            <w:vAlign w:val="center"/>
          </w:tcPr>
          <w:p w14:paraId="06E2867D">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 xml:space="preserve"> 《城镇污水处理厂污染物排放标准》GB 18918-2002一级A</w:t>
            </w:r>
          </w:p>
        </w:tc>
        <w:tc>
          <w:tcPr>
            <w:tcW w:w="1701" w:type="dxa"/>
            <w:tcBorders>
              <w:top w:val="nil"/>
              <w:left w:val="nil"/>
              <w:bottom w:val="single" w:color="auto" w:sz="4" w:space="0"/>
              <w:right w:val="single" w:color="auto" w:sz="4" w:space="0"/>
            </w:tcBorders>
            <w:shd w:val="clear" w:color="auto" w:fill="auto"/>
            <w:vAlign w:val="center"/>
          </w:tcPr>
          <w:p w14:paraId="48ECB4D5">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考量污水处理厂尾水排放是否符合出水标准</w:t>
            </w:r>
          </w:p>
        </w:tc>
        <w:tc>
          <w:tcPr>
            <w:tcW w:w="533" w:type="dxa"/>
            <w:tcBorders>
              <w:top w:val="nil"/>
              <w:left w:val="nil"/>
              <w:bottom w:val="single" w:color="auto" w:sz="4" w:space="0"/>
              <w:right w:val="single" w:color="auto" w:sz="4" w:space="0"/>
            </w:tcBorders>
            <w:shd w:val="clear" w:color="auto" w:fill="auto"/>
            <w:vAlign w:val="center"/>
          </w:tcPr>
          <w:p w14:paraId="028C325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53393FBE">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尾水符合一级A标准得满分，出现一次未达标排放得2分。</w:t>
            </w:r>
          </w:p>
        </w:tc>
        <w:tc>
          <w:tcPr>
            <w:tcW w:w="1888" w:type="dxa"/>
            <w:tcBorders>
              <w:top w:val="nil"/>
              <w:left w:val="nil"/>
              <w:bottom w:val="single" w:color="auto" w:sz="4" w:space="0"/>
              <w:right w:val="single" w:color="auto" w:sz="4" w:space="0"/>
            </w:tcBorders>
            <w:shd w:val="clear" w:color="auto" w:fill="auto"/>
            <w:vAlign w:val="center"/>
          </w:tcPr>
          <w:p w14:paraId="78FF8A2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尾水符合一级A标准，达标排放</w:t>
            </w:r>
          </w:p>
        </w:tc>
        <w:tc>
          <w:tcPr>
            <w:tcW w:w="726" w:type="dxa"/>
            <w:tcBorders>
              <w:top w:val="nil"/>
              <w:left w:val="nil"/>
              <w:bottom w:val="single" w:color="auto" w:sz="4" w:space="0"/>
              <w:right w:val="single" w:color="auto" w:sz="4" w:space="0"/>
            </w:tcBorders>
            <w:shd w:val="clear" w:color="auto" w:fill="auto"/>
            <w:noWrap/>
            <w:vAlign w:val="center"/>
          </w:tcPr>
          <w:p w14:paraId="7F8F6B0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563BFBBB">
        <w:tblPrEx>
          <w:tblCellMar>
            <w:top w:w="0" w:type="dxa"/>
            <w:left w:w="108" w:type="dxa"/>
            <w:bottom w:w="0" w:type="dxa"/>
            <w:right w:w="108" w:type="dxa"/>
          </w:tblCellMar>
        </w:tblPrEx>
        <w:trPr>
          <w:trHeight w:val="960" w:hRule="atLeast"/>
          <w:jc w:val="center"/>
        </w:trPr>
        <w:tc>
          <w:tcPr>
            <w:tcW w:w="1044" w:type="dxa"/>
            <w:vMerge w:val="continue"/>
            <w:tcBorders>
              <w:top w:val="nil"/>
              <w:left w:val="single" w:color="auto" w:sz="4" w:space="0"/>
              <w:bottom w:val="single" w:color="000000" w:sz="4" w:space="0"/>
              <w:right w:val="single" w:color="auto" w:sz="4" w:space="0"/>
            </w:tcBorders>
            <w:vAlign w:val="center"/>
          </w:tcPr>
          <w:p w14:paraId="12A468F3">
            <w:pPr>
              <w:widowControl/>
              <w:jc w:val="left"/>
              <w:rPr>
                <w:rFonts w:ascii="仿宋_GB2312" w:hAnsi="宋体" w:eastAsia="仿宋_GB2312" w:cs="宋体"/>
                <w:color w:val="000000"/>
                <w:kern w:val="0"/>
                <w:sz w:val="20"/>
              </w:rPr>
            </w:pPr>
          </w:p>
        </w:tc>
        <w:tc>
          <w:tcPr>
            <w:tcW w:w="1242" w:type="dxa"/>
            <w:tcBorders>
              <w:top w:val="nil"/>
              <w:left w:val="nil"/>
              <w:bottom w:val="single" w:color="auto" w:sz="4" w:space="0"/>
              <w:right w:val="single" w:color="auto" w:sz="4" w:space="0"/>
            </w:tcBorders>
            <w:shd w:val="clear" w:color="auto" w:fill="auto"/>
            <w:vAlign w:val="center"/>
          </w:tcPr>
          <w:p w14:paraId="74C8D1B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可持续发展</w:t>
            </w:r>
          </w:p>
        </w:tc>
        <w:tc>
          <w:tcPr>
            <w:tcW w:w="1451" w:type="dxa"/>
            <w:tcBorders>
              <w:top w:val="nil"/>
              <w:left w:val="nil"/>
              <w:bottom w:val="single" w:color="auto" w:sz="4" w:space="0"/>
              <w:right w:val="single" w:color="auto" w:sz="4" w:space="0"/>
            </w:tcBorders>
            <w:shd w:val="clear" w:color="auto" w:fill="auto"/>
            <w:vAlign w:val="center"/>
          </w:tcPr>
          <w:p w14:paraId="27166ED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污水处理厂安全稳定运行</w:t>
            </w:r>
          </w:p>
        </w:tc>
        <w:tc>
          <w:tcPr>
            <w:tcW w:w="1985" w:type="dxa"/>
            <w:tcBorders>
              <w:top w:val="nil"/>
              <w:left w:val="nil"/>
              <w:bottom w:val="single" w:color="auto" w:sz="4" w:space="0"/>
              <w:right w:val="single" w:color="auto" w:sz="4" w:space="0"/>
            </w:tcBorders>
            <w:shd w:val="clear" w:color="auto" w:fill="auto"/>
            <w:vAlign w:val="center"/>
          </w:tcPr>
          <w:p w14:paraId="35298C58">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运行记录完备</w:t>
            </w:r>
          </w:p>
        </w:tc>
        <w:tc>
          <w:tcPr>
            <w:tcW w:w="1701" w:type="dxa"/>
            <w:tcBorders>
              <w:top w:val="nil"/>
              <w:left w:val="nil"/>
              <w:bottom w:val="single" w:color="auto" w:sz="4" w:space="0"/>
              <w:right w:val="single" w:color="auto" w:sz="4" w:space="0"/>
            </w:tcBorders>
            <w:shd w:val="clear" w:color="auto" w:fill="auto"/>
            <w:vAlign w:val="center"/>
          </w:tcPr>
          <w:p w14:paraId="75B25E7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考量污水处理厂安全稳定运行</w:t>
            </w:r>
          </w:p>
        </w:tc>
        <w:tc>
          <w:tcPr>
            <w:tcW w:w="533" w:type="dxa"/>
            <w:tcBorders>
              <w:top w:val="nil"/>
              <w:left w:val="nil"/>
              <w:bottom w:val="single" w:color="auto" w:sz="4" w:space="0"/>
              <w:right w:val="single" w:color="auto" w:sz="4" w:space="0"/>
            </w:tcBorders>
            <w:shd w:val="clear" w:color="auto" w:fill="auto"/>
            <w:vAlign w:val="center"/>
          </w:tcPr>
          <w:p w14:paraId="036A203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69AC2923">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污水厂稳定运行，运行、安全台账完备得满分，发生安全运行事件一次得2分，再次发生安全事件不得分。</w:t>
            </w:r>
          </w:p>
        </w:tc>
        <w:tc>
          <w:tcPr>
            <w:tcW w:w="1888" w:type="dxa"/>
            <w:tcBorders>
              <w:top w:val="nil"/>
              <w:left w:val="nil"/>
              <w:bottom w:val="single" w:color="auto" w:sz="4" w:space="0"/>
              <w:right w:val="single" w:color="auto" w:sz="4" w:space="0"/>
            </w:tcBorders>
            <w:shd w:val="clear" w:color="auto" w:fill="auto"/>
            <w:vAlign w:val="center"/>
          </w:tcPr>
          <w:p w14:paraId="7629A6E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各污水厂安全运行，各项台账记录完备</w:t>
            </w:r>
          </w:p>
        </w:tc>
        <w:tc>
          <w:tcPr>
            <w:tcW w:w="726" w:type="dxa"/>
            <w:tcBorders>
              <w:top w:val="nil"/>
              <w:left w:val="nil"/>
              <w:bottom w:val="single" w:color="auto" w:sz="4" w:space="0"/>
              <w:right w:val="single" w:color="auto" w:sz="4" w:space="0"/>
            </w:tcBorders>
            <w:shd w:val="clear" w:color="auto" w:fill="auto"/>
            <w:noWrap/>
            <w:vAlign w:val="center"/>
          </w:tcPr>
          <w:p w14:paraId="5C69B8D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5FB32535">
        <w:tblPrEx>
          <w:tblCellMar>
            <w:top w:w="0" w:type="dxa"/>
            <w:left w:w="108" w:type="dxa"/>
            <w:bottom w:w="0" w:type="dxa"/>
            <w:right w:w="108" w:type="dxa"/>
          </w:tblCellMar>
        </w:tblPrEx>
        <w:trPr>
          <w:trHeight w:val="780" w:hRule="atLeast"/>
          <w:jc w:val="center"/>
        </w:trPr>
        <w:tc>
          <w:tcPr>
            <w:tcW w:w="1044" w:type="dxa"/>
            <w:vMerge w:val="continue"/>
            <w:tcBorders>
              <w:top w:val="nil"/>
              <w:left w:val="single" w:color="auto" w:sz="4" w:space="0"/>
              <w:bottom w:val="single" w:color="000000" w:sz="4" w:space="0"/>
              <w:right w:val="single" w:color="auto" w:sz="4" w:space="0"/>
            </w:tcBorders>
            <w:vAlign w:val="center"/>
          </w:tcPr>
          <w:p w14:paraId="07C85A73">
            <w:pPr>
              <w:widowControl/>
              <w:jc w:val="left"/>
              <w:rPr>
                <w:rFonts w:ascii="仿宋_GB2312" w:hAnsi="宋体" w:eastAsia="仿宋_GB2312" w:cs="宋体"/>
                <w:color w:val="000000"/>
                <w:kern w:val="0"/>
                <w:sz w:val="20"/>
              </w:rPr>
            </w:pPr>
          </w:p>
        </w:tc>
        <w:tc>
          <w:tcPr>
            <w:tcW w:w="1242" w:type="dxa"/>
            <w:vMerge w:val="restart"/>
            <w:tcBorders>
              <w:top w:val="nil"/>
              <w:left w:val="single" w:color="auto" w:sz="4" w:space="0"/>
              <w:bottom w:val="single" w:color="000000" w:sz="4" w:space="0"/>
              <w:right w:val="single" w:color="auto" w:sz="4" w:space="0"/>
            </w:tcBorders>
            <w:shd w:val="clear" w:color="auto" w:fill="auto"/>
            <w:vAlign w:val="center"/>
          </w:tcPr>
          <w:p w14:paraId="68CF3B2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服务对象满意度指标</w:t>
            </w:r>
          </w:p>
        </w:tc>
        <w:tc>
          <w:tcPr>
            <w:tcW w:w="1451" w:type="dxa"/>
            <w:tcBorders>
              <w:top w:val="nil"/>
              <w:left w:val="nil"/>
              <w:bottom w:val="single" w:color="auto" w:sz="4" w:space="0"/>
              <w:right w:val="single" w:color="auto" w:sz="4" w:space="0"/>
            </w:tcBorders>
            <w:shd w:val="clear" w:color="auto" w:fill="auto"/>
            <w:vAlign w:val="center"/>
          </w:tcPr>
          <w:p w14:paraId="742CB33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社会公众对项目实施效果的满意程度</w:t>
            </w:r>
          </w:p>
        </w:tc>
        <w:tc>
          <w:tcPr>
            <w:tcW w:w="1985" w:type="dxa"/>
            <w:tcBorders>
              <w:top w:val="nil"/>
              <w:left w:val="nil"/>
              <w:bottom w:val="single" w:color="auto" w:sz="4" w:space="0"/>
              <w:right w:val="single" w:color="auto" w:sz="4" w:space="0"/>
            </w:tcBorders>
            <w:shd w:val="clear" w:color="auto" w:fill="auto"/>
            <w:vAlign w:val="center"/>
          </w:tcPr>
          <w:p w14:paraId="5518F243">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≥90%</w:t>
            </w:r>
          </w:p>
        </w:tc>
        <w:tc>
          <w:tcPr>
            <w:tcW w:w="1701" w:type="dxa"/>
            <w:tcBorders>
              <w:top w:val="nil"/>
              <w:left w:val="nil"/>
              <w:bottom w:val="single" w:color="auto" w:sz="4" w:space="0"/>
              <w:right w:val="single" w:color="auto" w:sz="4" w:space="0"/>
            </w:tcBorders>
            <w:shd w:val="clear" w:color="auto" w:fill="auto"/>
            <w:vAlign w:val="center"/>
          </w:tcPr>
          <w:p w14:paraId="46A1E09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考量社会公众满意值</w:t>
            </w:r>
          </w:p>
        </w:tc>
        <w:tc>
          <w:tcPr>
            <w:tcW w:w="533" w:type="dxa"/>
            <w:tcBorders>
              <w:top w:val="nil"/>
              <w:left w:val="nil"/>
              <w:bottom w:val="single" w:color="auto" w:sz="4" w:space="0"/>
              <w:right w:val="single" w:color="auto" w:sz="4" w:space="0"/>
            </w:tcBorders>
            <w:shd w:val="clear" w:color="auto" w:fill="auto"/>
            <w:vAlign w:val="center"/>
          </w:tcPr>
          <w:p w14:paraId="0A752E7A">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nil"/>
              <w:left w:val="nil"/>
              <w:bottom w:val="single" w:color="auto" w:sz="4" w:space="0"/>
              <w:right w:val="single" w:color="auto" w:sz="4" w:space="0"/>
            </w:tcBorders>
            <w:shd w:val="clear" w:color="auto" w:fill="auto"/>
            <w:vAlign w:val="center"/>
          </w:tcPr>
          <w:p w14:paraId="493CCFE6">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满意度≥90%得5分，90＞满意度≥75%，得3分，满意度&lt;75%不得分。</w:t>
            </w:r>
          </w:p>
        </w:tc>
        <w:tc>
          <w:tcPr>
            <w:tcW w:w="1888" w:type="dxa"/>
            <w:tcBorders>
              <w:top w:val="nil"/>
              <w:left w:val="nil"/>
              <w:bottom w:val="single" w:color="auto" w:sz="4" w:space="0"/>
              <w:right w:val="single" w:color="auto" w:sz="4" w:space="0"/>
            </w:tcBorders>
            <w:shd w:val="clear" w:color="auto" w:fill="auto"/>
            <w:vAlign w:val="center"/>
          </w:tcPr>
          <w:p w14:paraId="1D4C8576">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≥90%</w:t>
            </w:r>
          </w:p>
        </w:tc>
        <w:tc>
          <w:tcPr>
            <w:tcW w:w="726" w:type="dxa"/>
            <w:tcBorders>
              <w:top w:val="nil"/>
              <w:left w:val="nil"/>
              <w:bottom w:val="single" w:color="auto" w:sz="4" w:space="0"/>
              <w:right w:val="single" w:color="auto" w:sz="4" w:space="0"/>
            </w:tcBorders>
            <w:shd w:val="clear" w:color="auto" w:fill="auto"/>
            <w:noWrap/>
            <w:vAlign w:val="center"/>
          </w:tcPr>
          <w:p w14:paraId="63A8622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69385335">
        <w:tblPrEx>
          <w:tblCellMar>
            <w:top w:w="0" w:type="dxa"/>
            <w:left w:w="108" w:type="dxa"/>
            <w:bottom w:w="0" w:type="dxa"/>
            <w:right w:w="108" w:type="dxa"/>
          </w:tblCellMar>
        </w:tblPrEx>
        <w:trPr>
          <w:trHeight w:val="1038" w:hRule="atLeast"/>
          <w:jc w:val="center"/>
        </w:trPr>
        <w:tc>
          <w:tcPr>
            <w:tcW w:w="1044" w:type="dxa"/>
            <w:vMerge w:val="continue"/>
            <w:tcBorders>
              <w:top w:val="nil"/>
              <w:left w:val="single" w:color="auto" w:sz="4" w:space="0"/>
              <w:bottom w:val="single" w:color="000000" w:sz="4" w:space="0"/>
              <w:right w:val="single" w:color="auto" w:sz="4" w:space="0"/>
            </w:tcBorders>
            <w:vAlign w:val="center"/>
          </w:tcPr>
          <w:p w14:paraId="67F3B8B2">
            <w:pPr>
              <w:widowControl/>
              <w:jc w:val="left"/>
              <w:rPr>
                <w:rFonts w:ascii="仿宋_GB2312" w:hAnsi="宋体" w:eastAsia="仿宋_GB2312" w:cs="宋体"/>
                <w:color w:val="000000"/>
                <w:kern w:val="0"/>
                <w:sz w:val="20"/>
              </w:rPr>
            </w:pPr>
          </w:p>
        </w:tc>
        <w:tc>
          <w:tcPr>
            <w:tcW w:w="1242" w:type="dxa"/>
            <w:vMerge w:val="continue"/>
            <w:tcBorders>
              <w:top w:val="nil"/>
              <w:left w:val="single" w:color="auto" w:sz="4" w:space="0"/>
              <w:bottom w:val="single" w:color="000000" w:sz="4" w:space="0"/>
              <w:right w:val="single" w:color="auto" w:sz="4" w:space="0"/>
            </w:tcBorders>
            <w:vAlign w:val="center"/>
          </w:tcPr>
          <w:p w14:paraId="5B434AC9">
            <w:pPr>
              <w:widowControl/>
              <w:jc w:val="left"/>
              <w:rPr>
                <w:rFonts w:ascii="仿宋_GB2312" w:hAnsi="宋体" w:eastAsia="仿宋_GB2312" w:cs="宋体"/>
                <w:color w:val="000000"/>
                <w:kern w:val="0"/>
                <w:sz w:val="20"/>
              </w:rPr>
            </w:pPr>
          </w:p>
        </w:tc>
        <w:tc>
          <w:tcPr>
            <w:tcW w:w="1451" w:type="dxa"/>
            <w:tcBorders>
              <w:top w:val="single" w:color="auto" w:sz="4" w:space="0"/>
              <w:left w:val="nil"/>
              <w:bottom w:val="single" w:color="auto" w:sz="4" w:space="0"/>
              <w:right w:val="single" w:color="auto" w:sz="4" w:space="0"/>
            </w:tcBorders>
            <w:shd w:val="clear" w:color="auto" w:fill="auto"/>
            <w:vAlign w:val="center"/>
          </w:tcPr>
          <w:p w14:paraId="507FA8F7">
            <w:pPr>
              <w:widowControl/>
              <w:jc w:val="center"/>
              <w:rPr>
                <w:rFonts w:ascii="仿宋_GB2312" w:hAnsi="宋体" w:eastAsia="仿宋_GB2312" w:cs="宋体"/>
                <w:color w:val="000000"/>
                <w:kern w:val="0"/>
                <w:sz w:val="20"/>
              </w:rPr>
            </w:pPr>
            <w:r>
              <w:rPr>
                <w:rFonts w:ascii="仿宋_GB2312" w:hAnsi="宋体" w:eastAsia="仿宋_GB2312" w:cs="宋体"/>
                <w:color w:val="000000"/>
                <w:kern w:val="0"/>
                <w:sz w:val="20"/>
              </w:rPr>
              <w:pict>
                <v:shape id="_x0000_s1029" o:spid="_x0000_s1029" o:spt="32" type="#_x0000_t32" style="position:absolute;left:0pt;margin-left:-118.25pt;margin-top:-10.75pt;height:0pt;width:113.25pt;z-index:251661312;mso-width-relative:page;mso-height-relative:page;" o:connectortype="straight" filled="f" coordsize="21600,21600">
                  <v:path arrowok="t"/>
                  <v:fill on="f" focussize="0,0"/>
                  <v:stroke/>
                  <v:imagedata o:title=""/>
                  <o:lock v:ext="edit"/>
                </v:shape>
              </w:pict>
            </w:r>
            <w:r>
              <w:rPr>
                <w:rFonts w:hint="eastAsia" w:ascii="仿宋_GB2312" w:hAnsi="宋体" w:eastAsia="仿宋_GB2312" w:cs="宋体"/>
                <w:color w:val="000000"/>
                <w:kern w:val="0"/>
                <w:sz w:val="20"/>
              </w:rPr>
              <w:t>不发生较大投诉事项</w:t>
            </w:r>
          </w:p>
        </w:tc>
        <w:tc>
          <w:tcPr>
            <w:tcW w:w="1985" w:type="dxa"/>
            <w:tcBorders>
              <w:top w:val="single" w:color="auto" w:sz="4" w:space="0"/>
              <w:left w:val="nil"/>
              <w:bottom w:val="single" w:color="auto" w:sz="4" w:space="0"/>
              <w:right w:val="single" w:color="auto" w:sz="4" w:space="0"/>
            </w:tcBorders>
            <w:shd w:val="clear" w:color="auto" w:fill="auto"/>
            <w:vAlign w:val="center"/>
          </w:tcPr>
          <w:p w14:paraId="07788029">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是否发生较大投诉事件</w:t>
            </w:r>
          </w:p>
        </w:tc>
        <w:tc>
          <w:tcPr>
            <w:tcW w:w="1701" w:type="dxa"/>
            <w:tcBorders>
              <w:top w:val="single" w:color="auto" w:sz="4" w:space="0"/>
              <w:left w:val="nil"/>
              <w:bottom w:val="single" w:color="auto" w:sz="4" w:space="0"/>
              <w:right w:val="single" w:color="auto" w:sz="4" w:space="0"/>
            </w:tcBorders>
            <w:shd w:val="clear" w:color="auto" w:fill="auto"/>
            <w:vAlign w:val="center"/>
          </w:tcPr>
          <w:p w14:paraId="620C708E">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考量日常运行及应急处置能力</w:t>
            </w:r>
          </w:p>
        </w:tc>
        <w:tc>
          <w:tcPr>
            <w:tcW w:w="533" w:type="dxa"/>
            <w:tcBorders>
              <w:top w:val="single" w:color="auto" w:sz="4" w:space="0"/>
              <w:left w:val="nil"/>
              <w:bottom w:val="single" w:color="auto" w:sz="4" w:space="0"/>
              <w:right w:val="single" w:color="auto" w:sz="4" w:space="0"/>
            </w:tcBorders>
            <w:shd w:val="clear" w:color="auto" w:fill="auto"/>
            <w:vAlign w:val="center"/>
          </w:tcPr>
          <w:p w14:paraId="49AB3EE0">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c>
          <w:tcPr>
            <w:tcW w:w="4082" w:type="dxa"/>
            <w:tcBorders>
              <w:top w:val="single" w:color="auto" w:sz="4" w:space="0"/>
              <w:left w:val="nil"/>
              <w:bottom w:val="single" w:color="auto" w:sz="4" w:space="0"/>
              <w:right w:val="single" w:color="auto" w:sz="4" w:space="0"/>
            </w:tcBorders>
            <w:shd w:val="clear" w:color="auto" w:fill="auto"/>
            <w:vAlign w:val="center"/>
          </w:tcPr>
          <w:p w14:paraId="3636A681">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未发生较大投诉事件得5分，发生社会影响加大投诉事件不得分。</w:t>
            </w:r>
          </w:p>
        </w:tc>
        <w:tc>
          <w:tcPr>
            <w:tcW w:w="1888" w:type="dxa"/>
            <w:tcBorders>
              <w:top w:val="nil"/>
              <w:left w:val="nil"/>
              <w:bottom w:val="single" w:color="auto" w:sz="4" w:space="0"/>
              <w:right w:val="single" w:color="auto" w:sz="4" w:space="0"/>
            </w:tcBorders>
            <w:shd w:val="clear" w:color="auto" w:fill="auto"/>
            <w:vAlign w:val="center"/>
          </w:tcPr>
          <w:p w14:paraId="25DC8C8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未发生较大投诉事件</w:t>
            </w:r>
          </w:p>
        </w:tc>
        <w:tc>
          <w:tcPr>
            <w:tcW w:w="726" w:type="dxa"/>
            <w:tcBorders>
              <w:top w:val="nil"/>
              <w:left w:val="nil"/>
              <w:bottom w:val="single" w:color="auto" w:sz="4" w:space="0"/>
              <w:right w:val="single" w:color="auto" w:sz="4" w:space="0"/>
            </w:tcBorders>
            <w:shd w:val="clear" w:color="auto" w:fill="auto"/>
            <w:noWrap/>
            <w:vAlign w:val="center"/>
          </w:tcPr>
          <w:p w14:paraId="07EF645C">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5</w:t>
            </w:r>
          </w:p>
        </w:tc>
      </w:tr>
      <w:tr w14:paraId="7EA4F413">
        <w:tblPrEx>
          <w:tblCellMar>
            <w:top w:w="0" w:type="dxa"/>
            <w:left w:w="108" w:type="dxa"/>
            <w:bottom w:w="0" w:type="dxa"/>
            <w:right w:w="108" w:type="dxa"/>
          </w:tblCellMar>
        </w:tblPrEx>
        <w:trPr>
          <w:trHeight w:val="540" w:hRule="atLeast"/>
          <w:jc w:val="center"/>
        </w:trPr>
        <w:tc>
          <w:tcPr>
            <w:tcW w:w="7423" w:type="dxa"/>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14AB3F26">
            <w:pPr>
              <w:widowControl/>
              <w:jc w:val="center"/>
              <w:rPr>
                <w:rFonts w:ascii="仿宋_GB2312" w:hAnsi="宋体" w:eastAsia="仿宋_GB2312" w:cs="宋体"/>
                <w:b/>
                <w:bCs/>
                <w:color w:val="000000"/>
                <w:kern w:val="0"/>
                <w:sz w:val="20"/>
              </w:rPr>
            </w:pPr>
            <w:r>
              <w:rPr>
                <w:rFonts w:hint="eastAsia" w:ascii="仿宋_GB2312" w:hAnsi="宋体" w:eastAsia="仿宋_GB2312" w:cs="宋体"/>
                <w:b/>
                <w:bCs/>
                <w:color w:val="000000"/>
                <w:kern w:val="0"/>
                <w:sz w:val="20"/>
              </w:rPr>
              <w:t>合计</w:t>
            </w:r>
          </w:p>
        </w:tc>
        <w:tc>
          <w:tcPr>
            <w:tcW w:w="533" w:type="dxa"/>
            <w:tcBorders>
              <w:top w:val="nil"/>
              <w:left w:val="nil"/>
              <w:bottom w:val="single" w:color="auto" w:sz="4" w:space="0"/>
              <w:right w:val="single" w:color="auto" w:sz="4" w:space="0"/>
            </w:tcBorders>
            <w:shd w:val="clear" w:color="auto" w:fill="auto"/>
            <w:vAlign w:val="center"/>
          </w:tcPr>
          <w:p w14:paraId="6D62F407">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100</w:t>
            </w:r>
          </w:p>
        </w:tc>
        <w:tc>
          <w:tcPr>
            <w:tcW w:w="4082" w:type="dxa"/>
            <w:tcBorders>
              <w:top w:val="nil"/>
              <w:left w:val="nil"/>
              <w:bottom w:val="single" w:color="auto" w:sz="4" w:space="0"/>
              <w:right w:val="single" w:color="auto" w:sz="4" w:space="0"/>
            </w:tcBorders>
            <w:shd w:val="clear" w:color="auto" w:fill="auto"/>
            <w:vAlign w:val="center"/>
          </w:tcPr>
          <w:p w14:paraId="43E2E6F1">
            <w:pPr>
              <w:widowControl/>
              <w:jc w:val="left"/>
              <w:rPr>
                <w:rFonts w:ascii="仿宋_GB2312" w:hAnsi="宋体" w:eastAsia="仿宋_GB2312" w:cs="宋体"/>
                <w:color w:val="000000"/>
                <w:kern w:val="0"/>
                <w:sz w:val="20"/>
              </w:rPr>
            </w:pPr>
            <w:r>
              <w:rPr>
                <w:rFonts w:hint="eastAsia" w:ascii="仿宋_GB2312" w:hAnsi="宋体" w:eastAsia="仿宋_GB2312" w:cs="宋体"/>
                <w:color w:val="000000"/>
                <w:kern w:val="0"/>
                <w:sz w:val="20"/>
              </w:rPr>
              <w:t>　</w:t>
            </w:r>
          </w:p>
        </w:tc>
        <w:tc>
          <w:tcPr>
            <w:tcW w:w="1888" w:type="dxa"/>
            <w:tcBorders>
              <w:top w:val="nil"/>
              <w:left w:val="nil"/>
              <w:bottom w:val="single" w:color="auto" w:sz="4" w:space="0"/>
              <w:right w:val="single" w:color="auto" w:sz="4" w:space="0"/>
            </w:tcBorders>
            <w:shd w:val="clear" w:color="auto" w:fill="auto"/>
            <w:vAlign w:val="center"/>
          </w:tcPr>
          <w:p w14:paraId="5D8F146B">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　</w:t>
            </w:r>
          </w:p>
        </w:tc>
        <w:tc>
          <w:tcPr>
            <w:tcW w:w="726" w:type="dxa"/>
            <w:tcBorders>
              <w:top w:val="nil"/>
              <w:left w:val="nil"/>
              <w:bottom w:val="single" w:color="auto" w:sz="4" w:space="0"/>
              <w:right w:val="single" w:color="auto" w:sz="4" w:space="0"/>
            </w:tcBorders>
            <w:shd w:val="clear" w:color="auto" w:fill="auto"/>
            <w:noWrap/>
            <w:vAlign w:val="center"/>
          </w:tcPr>
          <w:p w14:paraId="38CD79D1">
            <w:pPr>
              <w:widowControl/>
              <w:jc w:val="center"/>
              <w:rPr>
                <w:rFonts w:ascii="仿宋_GB2312" w:hAnsi="宋体" w:eastAsia="仿宋_GB2312" w:cs="宋体"/>
                <w:color w:val="000000"/>
                <w:kern w:val="0"/>
                <w:sz w:val="20"/>
              </w:rPr>
            </w:pPr>
            <w:r>
              <w:rPr>
                <w:rFonts w:hint="eastAsia" w:ascii="仿宋_GB2312" w:hAnsi="宋体" w:eastAsia="仿宋_GB2312" w:cs="宋体"/>
                <w:color w:val="000000"/>
                <w:kern w:val="0"/>
                <w:sz w:val="20"/>
              </w:rPr>
              <w:t>97</w:t>
            </w:r>
          </w:p>
        </w:tc>
      </w:tr>
    </w:tbl>
    <w:p w14:paraId="40FC8227">
      <w:pPr>
        <w:pStyle w:val="2"/>
        <w:spacing w:line="560" w:lineRule="exact"/>
        <w:rPr>
          <w:rFonts w:ascii="Times New Roman" w:hAnsi="Times New Roman" w:eastAsia="仿宋_GB2312" w:cs="Times New Roman"/>
          <w:color w:val="auto"/>
          <w:kern w:val="2"/>
          <w:sz w:val="32"/>
          <w:szCs w:val="32"/>
        </w:rPr>
      </w:pPr>
    </w:p>
    <w:p w14:paraId="36A3B975">
      <w:pPr>
        <w:pStyle w:val="2"/>
        <w:spacing w:line="560" w:lineRule="exact"/>
        <w:rPr>
          <w:rFonts w:ascii="Times New Roman" w:hAnsi="Times New Roman" w:eastAsia="仿宋_GB2312" w:cs="Times New Roman"/>
          <w:color w:val="auto"/>
          <w:kern w:val="2"/>
          <w:sz w:val="32"/>
          <w:szCs w:val="32"/>
        </w:rPr>
      </w:pPr>
    </w:p>
    <w:p w14:paraId="3386D0A9">
      <w:pPr>
        <w:pStyle w:val="2"/>
        <w:spacing w:line="560" w:lineRule="exact"/>
        <w:rPr>
          <w:rFonts w:ascii="Times New Roman" w:hAnsi="Times New Roman" w:eastAsia="仿宋_GB2312" w:cs="Times New Roman"/>
          <w:color w:val="auto"/>
          <w:kern w:val="2"/>
          <w:sz w:val="32"/>
          <w:szCs w:val="32"/>
        </w:rPr>
      </w:pPr>
    </w:p>
    <w:p w14:paraId="20261880">
      <w:pPr>
        <w:pStyle w:val="2"/>
        <w:spacing w:line="560" w:lineRule="exact"/>
        <w:rPr>
          <w:rFonts w:ascii="Times New Roman" w:hAnsi="Times New Roman" w:eastAsia="仿宋_GB2312" w:cs="Times New Roman"/>
          <w:color w:val="auto"/>
          <w:kern w:val="2"/>
          <w:sz w:val="32"/>
          <w:szCs w:val="32"/>
        </w:rPr>
      </w:pPr>
    </w:p>
    <w:p w14:paraId="4F46EABC">
      <w:pPr>
        <w:spacing w:line="560" w:lineRule="exact"/>
        <w:rPr>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2B62">
    <w:pPr>
      <w:pStyle w:val="4"/>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joinstyle="miter"/>
          <v:imagedata o:title=""/>
          <o:lock v:ext="edit"/>
          <v:textbox inset="0mm,0mm,0mm,0mm" style="mso-fit-shape-to-text:t;">
            <w:txbxContent>
              <w:p w14:paraId="6B7B6774">
                <w:pPr>
                  <w:pStyle w:val="4"/>
                </w:pPr>
                <w:r>
                  <w:fldChar w:fldCharType="begin"/>
                </w:r>
                <w:r>
                  <w:instrText xml:space="preserve"> PAGE  \* MERGEFORMAT </w:instrText>
                </w:r>
                <w:r>
                  <w:fldChar w:fldCharType="separate"/>
                </w:r>
                <w:r>
                  <w:t>6</w:t>
                </w:r>
                <w:r>
                  <w:fldChar w:fldCharType="end"/>
                </w:r>
              </w:p>
            </w:txbxContent>
          </v:textbox>
        </v:shape>
      </w:pict>
    </w:r>
  </w:p>
  <w:p w14:paraId="32AACDA9">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C97D97"/>
    <w:multiLevelType w:val="singleLevel"/>
    <w:tmpl w:val="E1C97D9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32E08DA"/>
    <w:rsid w:val="000370B7"/>
    <w:rsid w:val="00070F3B"/>
    <w:rsid w:val="00081F56"/>
    <w:rsid w:val="000A00CA"/>
    <w:rsid w:val="000D20A0"/>
    <w:rsid w:val="000F2757"/>
    <w:rsid w:val="00117179"/>
    <w:rsid w:val="001B1D41"/>
    <w:rsid w:val="001D1995"/>
    <w:rsid w:val="001D636C"/>
    <w:rsid w:val="001E24D9"/>
    <w:rsid w:val="002328E6"/>
    <w:rsid w:val="00236A84"/>
    <w:rsid w:val="00247ECB"/>
    <w:rsid w:val="002572D6"/>
    <w:rsid w:val="00293277"/>
    <w:rsid w:val="002932BB"/>
    <w:rsid w:val="002B6D1F"/>
    <w:rsid w:val="002C4D69"/>
    <w:rsid w:val="002E24F5"/>
    <w:rsid w:val="002E7B65"/>
    <w:rsid w:val="00305027"/>
    <w:rsid w:val="00343770"/>
    <w:rsid w:val="00357E8A"/>
    <w:rsid w:val="004459FC"/>
    <w:rsid w:val="00542B3D"/>
    <w:rsid w:val="00546A91"/>
    <w:rsid w:val="00562E68"/>
    <w:rsid w:val="005658D0"/>
    <w:rsid w:val="00571603"/>
    <w:rsid w:val="00622AAA"/>
    <w:rsid w:val="006255F1"/>
    <w:rsid w:val="006554D5"/>
    <w:rsid w:val="006A6925"/>
    <w:rsid w:val="006F1CF6"/>
    <w:rsid w:val="007064EA"/>
    <w:rsid w:val="00763AB8"/>
    <w:rsid w:val="007D3B3B"/>
    <w:rsid w:val="008407AC"/>
    <w:rsid w:val="008A56B3"/>
    <w:rsid w:val="00947EC2"/>
    <w:rsid w:val="009C79BD"/>
    <w:rsid w:val="009F31E0"/>
    <w:rsid w:val="00A15BA2"/>
    <w:rsid w:val="00A202CC"/>
    <w:rsid w:val="00AA6229"/>
    <w:rsid w:val="00B5419D"/>
    <w:rsid w:val="00B55429"/>
    <w:rsid w:val="00BA195C"/>
    <w:rsid w:val="00BE0466"/>
    <w:rsid w:val="00C27BC2"/>
    <w:rsid w:val="00C3686C"/>
    <w:rsid w:val="00C54BAA"/>
    <w:rsid w:val="00C70246"/>
    <w:rsid w:val="00C8227E"/>
    <w:rsid w:val="00C95414"/>
    <w:rsid w:val="00CA1B11"/>
    <w:rsid w:val="00CA7653"/>
    <w:rsid w:val="00CB100B"/>
    <w:rsid w:val="00CE7CB2"/>
    <w:rsid w:val="00D02E89"/>
    <w:rsid w:val="00D20B0F"/>
    <w:rsid w:val="00DB2877"/>
    <w:rsid w:val="00E004A4"/>
    <w:rsid w:val="00E12484"/>
    <w:rsid w:val="00E23A3E"/>
    <w:rsid w:val="00E67A6C"/>
    <w:rsid w:val="00EA4345"/>
    <w:rsid w:val="00EB0FEA"/>
    <w:rsid w:val="00EB17D3"/>
    <w:rsid w:val="00EE0ED6"/>
    <w:rsid w:val="00EE30BF"/>
    <w:rsid w:val="00EE67AD"/>
    <w:rsid w:val="00F27F6C"/>
    <w:rsid w:val="00F83D7B"/>
    <w:rsid w:val="00FA7435"/>
    <w:rsid w:val="221F2661"/>
    <w:rsid w:val="532E08DA"/>
    <w:rsid w:val="638E71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 id="V:Rule2" type="connector" idref="#_x0000_s1027"/>
        <o:r id="V:Rule3" type="connector" idref="#_x0000_s1029"/>
        <o:r id="V:Rule4" type="connector" idref="#_x0000_s10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微软雅黑" w:cs="宋体"/>
      <w:color w:val="000000"/>
      <w:sz w:val="24"/>
      <w:szCs w:val="24"/>
      <w:lang w:val="en-US" w:eastAsia="zh-CN" w:bidi="ar-SA"/>
    </w:rPr>
  </w:style>
  <w:style w:type="paragraph" w:styleId="3">
    <w:name w:val="Body Text"/>
    <w:basedOn w:val="1"/>
    <w:link w:val="11"/>
    <w:uiPriority w:val="0"/>
    <w:pPr>
      <w:spacing w:after="120" w:line="560" w:lineRule="exact"/>
      <w:ind w:firstLine="560" w:firstLineChars="200"/>
    </w:pPr>
    <w:rPr>
      <w:rFonts w:ascii="仿宋" w:hAnsi="仿宋" w:eastAsia="仿宋" w:cs="仿宋"/>
      <w:color w:val="000000"/>
      <w:sz w:val="28"/>
      <w:szCs w:val="28"/>
    </w:rPr>
  </w:style>
  <w:style w:type="paragraph" w:styleId="4">
    <w:name w:val="footer"/>
    <w:basedOn w:val="1"/>
    <w:uiPriority w:val="99"/>
    <w:pPr>
      <w:tabs>
        <w:tab w:val="center" w:pos="4153"/>
        <w:tab w:val="right" w:pos="8306"/>
      </w:tabs>
      <w:snapToGrid w:val="0"/>
      <w:jc w:val="left"/>
    </w:pPr>
    <w:rPr>
      <w:sz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paragraph" w:customStyle="1" w:styleId="9">
    <w:name w:val="p0"/>
    <w:basedOn w:val="1"/>
    <w:qFormat/>
    <w:uiPriority w:val="0"/>
    <w:pPr>
      <w:widowControl/>
    </w:pPr>
    <w:rPr>
      <w:kern w:val="0"/>
      <w:szCs w:val="21"/>
    </w:rPr>
  </w:style>
  <w:style w:type="character" w:customStyle="1" w:styleId="10">
    <w:name w:val="页眉 Char"/>
    <w:basedOn w:val="7"/>
    <w:link w:val="5"/>
    <w:uiPriority w:val="0"/>
    <w:rPr>
      <w:rFonts w:ascii="Times New Roman" w:hAnsi="Times New Roman" w:eastAsia="宋体" w:cs="Times New Roman"/>
      <w:kern w:val="2"/>
      <w:sz w:val="18"/>
      <w:szCs w:val="18"/>
    </w:rPr>
  </w:style>
  <w:style w:type="character" w:customStyle="1" w:styleId="11">
    <w:name w:val="正文文本 Char"/>
    <w:basedOn w:val="7"/>
    <w:link w:val="3"/>
    <w:uiPriority w:val="0"/>
    <w:rPr>
      <w:rFonts w:ascii="仿宋" w:hAnsi="仿宋" w:eastAsia="仿宋" w:cs="仿宋"/>
      <w:color w:val="000000"/>
      <w:kern w:val="2"/>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6"/>
    <customShpInfo spid="_x0000_s1027"/>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B8E0D8-54A8-4A72-ACE3-A7E6CE4BC83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2623</Words>
  <Characters>2854</Characters>
  <Lines>35</Lines>
  <Paragraphs>9</Paragraphs>
  <TotalTime>216</TotalTime>
  <ScaleCrop>false</ScaleCrop>
  <LinksUpToDate>false</LinksUpToDate>
  <CharactersWithSpaces>2860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2021-11-03T06:44:00Z</dcterms:created>
  <dc:creator>瓦西里</dc:creator>
  <cp:lastModifiedBy>雪儿</cp:lastModifiedBy>
  <dcterms:modified xsi:type="dcterms:W3CDTF">2025-05-22T07:50:59Z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DBEBE4D0B8EE46A1B37777057EA3C5C3</vt:lpwstr>
  </property>
  <property fmtid="{D5CDD505-2E9C-101B-9397-08002B2CF9AE}" pid="4" name="KSOTemplateDocerSaveRecord">
    <vt:lpwstr>eyJoZGlkIjoiNDFjMzc3YTEyMWFkNzE4ZTdkNzI3ODA5Nzc4ZDgwOTgiLCJ1c2VySWQiOiI0ODMyNjIzODUifQ==</vt:lpwstr>
  </property>
</Properties>
</file>